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AA7" w:rsidRDefault="00A979B1">
      <w:pPr>
        <w:pStyle w:val="Textoindependiente"/>
        <w:ind w:left="7299"/>
        <w:rPr>
          <w:rFonts w:ascii="Times New Roman"/>
          <w:sz w:val="20"/>
        </w:rPr>
      </w:pPr>
      <w:r>
        <w:rPr>
          <w:rFonts w:ascii="Times New Roman"/>
          <w:noProof/>
          <w:sz w:val="20"/>
          <w:lang w:bidi="ar-SA"/>
        </w:rPr>
        <w:drawing>
          <wp:inline distT="0" distB="0" distL="0" distR="0">
            <wp:extent cx="800130" cy="83172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00130" cy="831723"/>
                    </a:xfrm>
                    <a:prstGeom prst="rect">
                      <a:avLst/>
                    </a:prstGeom>
                  </pic:spPr>
                </pic:pic>
              </a:graphicData>
            </a:graphic>
          </wp:inline>
        </w:drawing>
      </w:r>
    </w:p>
    <w:p w:rsidR="00FC3AA7" w:rsidRDefault="00FC3AA7">
      <w:pPr>
        <w:pStyle w:val="Textoindependiente"/>
        <w:rPr>
          <w:rFonts w:ascii="Times New Roman"/>
          <w:sz w:val="20"/>
        </w:rPr>
      </w:pPr>
    </w:p>
    <w:p w:rsidR="00FC3AA7" w:rsidRDefault="00FC3AA7">
      <w:pPr>
        <w:pStyle w:val="Textoindependiente"/>
        <w:rPr>
          <w:rFonts w:ascii="Times New Roman"/>
          <w:sz w:val="20"/>
        </w:rPr>
      </w:pPr>
    </w:p>
    <w:p w:rsidR="00FC3AA7" w:rsidRDefault="00FC3AA7">
      <w:pPr>
        <w:pStyle w:val="Textoindependiente"/>
        <w:spacing w:before="1" w:after="1"/>
        <w:rPr>
          <w:rFonts w:ascii="Times New Roman"/>
          <w:sz w:val="1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2932"/>
        <w:gridCol w:w="3144"/>
        <w:gridCol w:w="3329"/>
        <w:gridCol w:w="1349"/>
        <w:gridCol w:w="2231"/>
      </w:tblGrid>
      <w:tr w:rsidR="00FC3AA7" w:rsidRPr="00AC46AD" w:rsidTr="00AC46AD">
        <w:trPr>
          <w:trHeight w:val="515"/>
        </w:trPr>
        <w:tc>
          <w:tcPr>
            <w:tcW w:w="15750" w:type="dxa"/>
            <w:gridSpan w:val="6"/>
          </w:tcPr>
          <w:p w:rsidR="00FC3AA7" w:rsidRPr="00AC46AD" w:rsidRDefault="00A979B1" w:rsidP="00AF33A7">
            <w:pPr>
              <w:pStyle w:val="TableParagraph"/>
              <w:spacing w:before="104"/>
              <w:ind w:left="5691" w:right="5682"/>
              <w:jc w:val="center"/>
              <w:rPr>
                <w:b/>
                <w:sz w:val="16"/>
                <w:szCs w:val="16"/>
              </w:rPr>
            </w:pPr>
            <w:r w:rsidRPr="00AC46AD">
              <w:rPr>
                <w:b/>
                <w:sz w:val="16"/>
                <w:szCs w:val="16"/>
              </w:rPr>
              <w:t>INFORM</w:t>
            </w:r>
            <w:r w:rsidR="00721754" w:rsidRPr="00AC46AD">
              <w:rPr>
                <w:b/>
                <w:sz w:val="16"/>
                <w:szCs w:val="16"/>
              </w:rPr>
              <w:t xml:space="preserve">E DE DEFENSA JUDICIAL VIGENTE </w:t>
            </w:r>
            <w:r w:rsidR="00AF33A7" w:rsidRPr="00AC46AD">
              <w:rPr>
                <w:b/>
                <w:sz w:val="16"/>
                <w:szCs w:val="16"/>
              </w:rPr>
              <w:t>30</w:t>
            </w:r>
            <w:r w:rsidR="002128A5" w:rsidRPr="00AC46AD">
              <w:rPr>
                <w:b/>
                <w:sz w:val="16"/>
                <w:szCs w:val="16"/>
                <w:lang w:val="es-419"/>
              </w:rPr>
              <w:t>/0</w:t>
            </w:r>
            <w:r w:rsidR="00AF33A7" w:rsidRPr="00AC46AD">
              <w:rPr>
                <w:b/>
                <w:sz w:val="16"/>
                <w:szCs w:val="16"/>
                <w:lang w:val="es-419"/>
              </w:rPr>
              <w:t>4</w:t>
            </w:r>
            <w:r w:rsidRPr="00AC46AD">
              <w:rPr>
                <w:b/>
                <w:sz w:val="16"/>
                <w:szCs w:val="16"/>
              </w:rPr>
              <w:t>/201</w:t>
            </w:r>
            <w:r w:rsidR="002128A5" w:rsidRPr="00AC46AD">
              <w:rPr>
                <w:b/>
                <w:sz w:val="16"/>
                <w:szCs w:val="16"/>
              </w:rPr>
              <w:t>9</w:t>
            </w:r>
            <w:r w:rsidRPr="00AC46AD">
              <w:rPr>
                <w:b/>
                <w:sz w:val="16"/>
                <w:szCs w:val="16"/>
              </w:rPr>
              <w:t>.</w:t>
            </w:r>
          </w:p>
        </w:tc>
      </w:tr>
      <w:tr w:rsidR="00FC3AA7" w:rsidRPr="00AC46AD" w:rsidTr="00AC46AD">
        <w:trPr>
          <w:trHeight w:val="782"/>
        </w:trPr>
        <w:tc>
          <w:tcPr>
            <w:tcW w:w="2765" w:type="dxa"/>
          </w:tcPr>
          <w:p w:rsidR="00FC3AA7" w:rsidRPr="00AC46AD" w:rsidRDefault="00A979B1">
            <w:pPr>
              <w:pStyle w:val="TableParagraph"/>
              <w:ind w:left="146"/>
              <w:rPr>
                <w:b/>
                <w:sz w:val="16"/>
                <w:szCs w:val="16"/>
              </w:rPr>
            </w:pPr>
            <w:r w:rsidRPr="00AC46AD">
              <w:rPr>
                <w:b/>
                <w:sz w:val="16"/>
                <w:szCs w:val="16"/>
              </w:rPr>
              <w:t>N. DE DEMANDAS/ DENUNCIAS</w:t>
            </w:r>
          </w:p>
        </w:tc>
        <w:tc>
          <w:tcPr>
            <w:tcW w:w="2932" w:type="dxa"/>
          </w:tcPr>
          <w:p w:rsidR="00FC3AA7" w:rsidRPr="00AC46AD" w:rsidRDefault="00A979B1" w:rsidP="00AC46AD">
            <w:pPr>
              <w:pStyle w:val="TableParagraph"/>
              <w:ind w:left="758" w:hanging="519"/>
              <w:rPr>
                <w:b/>
                <w:sz w:val="16"/>
                <w:szCs w:val="16"/>
              </w:rPr>
            </w:pPr>
            <w:r w:rsidRPr="00AC46AD">
              <w:rPr>
                <w:b/>
                <w:sz w:val="16"/>
                <w:szCs w:val="16"/>
              </w:rPr>
              <w:t>DEMANDANTE/ DENUNCIANTE</w:t>
            </w:r>
          </w:p>
        </w:tc>
        <w:tc>
          <w:tcPr>
            <w:tcW w:w="3144" w:type="dxa"/>
          </w:tcPr>
          <w:p w:rsidR="00FC3AA7" w:rsidRPr="00AC46AD" w:rsidRDefault="00A979B1" w:rsidP="00AC46AD">
            <w:pPr>
              <w:pStyle w:val="TableParagraph"/>
              <w:spacing w:line="432" w:lineRule="auto"/>
              <w:ind w:left="588" w:right="529" w:hanging="304"/>
              <w:rPr>
                <w:b/>
                <w:sz w:val="16"/>
                <w:szCs w:val="16"/>
              </w:rPr>
            </w:pPr>
            <w:r w:rsidRPr="00AC46AD">
              <w:rPr>
                <w:b/>
                <w:sz w:val="16"/>
                <w:szCs w:val="16"/>
              </w:rPr>
              <w:t>DEMANDADO / DENUNCIADO</w:t>
            </w:r>
          </w:p>
        </w:tc>
        <w:tc>
          <w:tcPr>
            <w:tcW w:w="3329" w:type="dxa"/>
          </w:tcPr>
          <w:p w:rsidR="00FC3AA7" w:rsidRPr="00AC46AD" w:rsidRDefault="00A979B1">
            <w:pPr>
              <w:pStyle w:val="TableParagraph"/>
              <w:ind w:left="420" w:right="413"/>
              <w:jc w:val="center"/>
              <w:rPr>
                <w:b/>
                <w:sz w:val="16"/>
                <w:szCs w:val="16"/>
              </w:rPr>
            </w:pPr>
            <w:r w:rsidRPr="00AC46AD">
              <w:rPr>
                <w:b/>
                <w:sz w:val="16"/>
                <w:szCs w:val="16"/>
              </w:rPr>
              <w:t>ESTADO</w:t>
            </w:r>
          </w:p>
        </w:tc>
        <w:tc>
          <w:tcPr>
            <w:tcW w:w="1349" w:type="dxa"/>
          </w:tcPr>
          <w:p w:rsidR="00FC3AA7" w:rsidRPr="00AC46AD" w:rsidRDefault="00A979B1">
            <w:pPr>
              <w:pStyle w:val="TableParagraph"/>
              <w:ind w:left="254"/>
              <w:rPr>
                <w:b/>
                <w:sz w:val="16"/>
                <w:szCs w:val="16"/>
              </w:rPr>
            </w:pPr>
            <w:r w:rsidRPr="00AC46AD">
              <w:rPr>
                <w:b/>
                <w:sz w:val="16"/>
                <w:szCs w:val="16"/>
              </w:rPr>
              <w:t>CUANTÍA</w:t>
            </w:r>
          </w:p>
        </w:tc>
        <w:tc>
          <w:tcPr>
            <w:tcW w:w="2231" w:type="dxa"/>
          </w:tcPr>
          <w:p w:rsidR="00FC3AA7" w:rsidRPr="00AC46AD" w:rsidRDefault="00A979B1" w:rsidP="00AC46AD">
            <w:pPr>
              <w:pStyle w:val="TableParagraph"/>
              <w:ind w:left="622" w:hanging="271"/>
              <w:rPr>
                <w:b/>
                <w:sz w:val="16"/>
                <w:szCs w:val="16"/>
              </w:rPr>
            </w:pPr>
            <w:r w:rsidRPr="00AC46AD">
              <w:rPr>
                <w:b/>
                <w:sz w:val="16"/>
                <w:szCs w:val="16"/>
              </w:rPr>
              <w:t>RIESGO DE PERDIDA</w:t>
            </w:r>
          </w:p>
        </w:tc>
      </w:tr>
      <w:tr w:rsidR="00FC3AA7" w:rsidRPr="00AC46AD" w:rsidTr="00AC46AD">
        <w:trPr>
          <w:trHeight w:val="1683"/>
        </w:trPr>
        <w:tc>
          <w:tcPr>
            <w:tcW w:w="2765" w:type="dxa"/>
          </w:tcPr>
          <w:p w:rsidR="00FC3AA7" w:rsidRPr="00AC46AD" w:rsidRDefault="00A979B1">
            <w:pPr>
              <w:pStyle w:val="TableParagraph"/>
              <w:spacing w:before="141"/>
              <w:ind w:left="107"/>
              <w:rPr>
                <w:b/>
                <w:sz w:val="16"/>
                <w:szCs w:val="16"/>
              </w:rPr>
            </w:pPr>
            <w:r w:rsidRPr="00AC46AD">
              <w:rPr>
                <w:b/>
                <w:w w:val="95"/>
                <w:sz w:val="16"/>
                <w:szCs w:val="16"/>
              </w:rPr>
              <w:t>1. Proceso Civil Ordinario.</w:t>
            </w:r>
          </w:p>
        </w:tc>
        <w:tc>
          <w:tcPr>
            <w:tcW w:w="2932" w:type="dxa"/>
          </w:tcPr>
          <w:p w:rsidR="00FC3AA7" w:rsidRPr="00AC46AD" w:rsidRDefault="00A979B1">
            <w:pPr>
              <w:pStyle w:val="TableParagraph"/>
              <w:spacing w:before="106" w:line="432" w:lineRule="auto"/>
              <w:ind w:left="105" w:right="87"/>
              <w:rPr>
                <w:sz w:val="16"/>
                <w:szCs w:val="16"/>
              </w:rPr>
            </w:pPr>
            <w:r w:rsidRPr="00AC46AD">
              <w:rPr>
                <w:sz w:val="16"/>
                <w:szCs w:val="16"/>
              </w:rPr>
              <w:t>Instituto para la investigación Educativa y el Desarrollo Pedagógico – IDEP.</w:t>
            </w:r>
          </w:p>
        </w:tc>
        <w:tc>
          <w:tcPr>
            <w:tcW w:w="3144" w:type="dxa"/>
          </w:tcPr>
          <w:p w:rsidR="00FC3AA7" w:rsidRPr="00AC46AD" w:rsidRDefault="00A979B1">
            <w:pPr>
              <w:pStyle w:val="TableParagraph"/>
              <w:spacing w:before="106" w:line="432" w:lineRule="auto"/>
              <w:ind w:right="359"/>
              <w:rPr>
                <w:sz w:val="16"/>
                <w:szCs w:val="16"/>
              </w:rPr>
            </w:pPr>
            <w:r w:rsidRPr="00AC46AD">
              <w:rPr>
                <w:sz w:val="16"/>
                <w:szCs w:val="16"/>
              </w:rPr>
              <w:t>María Magdalena Morales Sarmiento</w:t>
            </w:r>
          </w:p>
        </w:tc>
        <w:tc>
          <w:tcPr>
            <w:tcW w:w="3329" w:type="dxa"/>
          </w:tcPr>
          <w:p w:rsidR="00FF12B2" w:rsidRPr="00AC46AD" w:rsidRDefault="008948E1" w:rsidP="00CB293E">
            <w:pPr>
              <w:pStyle w:val="TableParagraph"/>
              <w:spacing w:before="105" w:after="240" w:line="360" w:lineRule="auto"/>
              <w:ind w:left="170" w:right="415"/>
              <w:jc w:val="both"/>
              <w:rPr>
                <w:sz w:val="16"/>
                <w:szCs w:val="16"/>
              </w:rPr>
            </w:pPr>
            <w:r w:rsidRPr="00AC46AD">
              <w:rPr>
                <w:sz w:val="16"/>
                <w:szCs w:val="16"/>
              </w:rPr>
              <w:t>Se radicó</w:t>
            </w:r>
            <w:r w:rsidR="00FF12B2" w:rsidRPr="00AC46AD">
              <w:rPr>
                <w:sz w:val="16"/>
                <w:szCs w:val="16"/>
              </w:rPr>
              <w:t xml:space="preserve"> oficio </w:t>
            </w:r>
            <w:r w:rsidRPr="00AC46AD">
              <w:rPr>
                <w:sz w:val="16"/>
                <w:szCs w:val="16"/>
              </w:rPr>
              <w:t xml:space="preserve">el 19 de enero de 2019 </w:t>
            </w:r>
            <w:r w:rsidR="00FF12B2" w:rsidRPr="00AC46AD">
              <w:rPr>
                <w:sz w:val="16"/>
                <w:szCs w:val="16"/>
              </w:rPr>
              <w:t xml:space="preserve">en el cual se </w:t>
            </w:r>
            <w:r w:rsidRPr="00AC46AD">
              <w:rPr>
                <w:sz w:val="16"/>
                <w:szCs w:val="16"/>
              </w:rPr>
              <w:t>solicitó a</w:t>
            </w:r>
            <w:r w:rsidR="00FF12B2" w:rsidRPr="00AC46AD">
              <w:rPr>
                <w:sz w:val="16"/>
                <w:szCs w:val="16"/>
              </w:rPr>
              <w:t xml:space="preserve"> la instancia judicial disponer el embargo y retención de los saldo</w:t>
            </w:r>
            <w:r w:rsidRPr="00AC46AD">
              <w:rPr>
                <w:sz w:val="16"/>
                <w:szCs w:val="16"/>
              </w:rPr>
              <w:t>s</w:t>
            </w:r>
            <w:r w:rsidR="00FF12B2" w:rsidRPr="00AC46AD">
              <w:rPr>
                <w:sz w:val="16"/>
                <w:szCs w:val="16"/>
              </w:rPr>
              <w:t xml:space="preserve"> que tenga la demanda en las distintas entidades bancarias y </w:t>
            </w:r>
            <w:r w:rsidRPr="00AC46AD">
              <w:rPr>
                <w:sz w:val="16"/>
                <w:szCs w:val="16"/>
              </w:rPr>
              <w:t>financieras</w:t>
            </w:r>
            <w:r w:rsidR="00FF12B2" w:rsidRPr="00AC46AD">
              <w:rPr>
                <w:sz w:val="16"/>
                <w:szCs w:val="16"/>
              </w:rPr>
              <w:t xml:space="preserve">.  </w:t>
            </w:r>
          </w:p>
        </w:tc>
        <w:tc>
          <w:tcPr>
            <w:tcW w:w="1349" w:type="dxa"/>
          </w:tcPr>
          <w:p w:rsidR="00FC3AA7" w:rsidRPr="00AC46AD" w:rsidRDefault="00A979B1">
            <w:pPr>
              <w:pStyle w:val="TableParagraph"/>
              <w:spacing w:before="106"/>
              <w:rPr>
                <w:sz w:val="16"/>
                <w:szCs w:val="16"/>
              </w:rPr>
            </w:pPr>
            <w:r w:rsidRPr="00AC46AD">
              <w:rPr>
                <w:sz w:val="16"/>
                <w:szCs w:val="16"/>
              </w:rPr>
              <w:t>$ 705.168.401</w:t>
            </w:r>
          </w:p>
        </w:tc>
        <w:tc>
          <w:tcPr>
            <w:tcW w:w="2231" w:type="dxa"/>
          </w:tcPr>
          <w:p w:rsidR="00FC3AA7" w:rsidRPr="00AC46AD" w:rsidRDefault="00A979B1">
            <w:pPr>
              <w:pStyle w:val="TableParagraph"/>
              <w:spacing w:before="99"/>
              <w:rPr>
                <w:sz w:val="16"/>
                <w:szCs w:val="16"/>
              </w:rPr>
            </w:pPr>
            <w:r w:rsidRPr="00AC46AD">
              <w:rPr>
                <w:sz w:val="16"/>
                <w:szCs w:val="16"/>
              </w:rPr>
              <w:t>Bajo</w:t>
            </w:r>
          </w:p>
        </w:tc>
      </w:tr>
      <w:tr w:rsidR="00FC3AA7" w:rsidRPr="00AC46AD" w:rsidTr="00AC46AD">
        <w:trPr>
          <w:trHeight w:val="741"/>
        </w:trPr>
        <w:tc>
          <w:tcPr>
            <w:tcW w:w="2765" w:type="dxa"/>
          </w:tcPr>
          <w:p w:rsidR="00FC3AA7" w:rsidRPr="00AC46AD" w:rsidRDefault="00A979B1">
            <w:pPr>
              <w:pStyle w:val="TableParagraph"/>
              <w:spacing w:before="138" w:line="393" w:lineRule="auto"/>
              <w:ind w:left="355" w:right="512" w:hanging="248"/>
              <w:rPr>
                <w:b/>
                <w:sz w:val="16"/>
                <w:szCs w:val="16"/>
              </w:rPr>
            </w:pPr>
            <w:r w:rsidRPr="00AC46AD">
              <w:rPr>
                <w:b/>
                <w:w w:val="90"/>
                <w:sz w:val="16"/>
                <w:szCs w:val="16"/>
              </w:rPr>
              <w:t xml:space="preserve">2. Proceso administrativo </w:t>
            </w:r>
            <w:r w:rsidRPr="00AC46AD">
              <w:rPr>
                <w:b/>
                <w:sz w:val="16"/>
                <w:szCs w:val="16"/>
              </w:rPr>
              <w:t>nulidad simple</w:t>
            </w:r>
          </w:p>
        </w:tc>
        <w:tc>
          <w:tcPr>
            <w:tcW w:w="2932" w:type="dxa"/>
          </w:tcPr>
          <w:p w:rsidR="00FC3AA7" w:rsidRPr="00AC46AD" w:rsidRDefault="00A979B1">
            <w:pPr>
              <w:pStyle w:val="TableParagraph"/>
              <w:ind w:left="105"/>
              <w:rPr>
                <w:sz w:val="16"/>
                <w:szCs w:val="16"/>
              </w:rPr>
            </w:pPr>
            <w:r w:rsidRPr="00AC46AD">
              <w:rPr>
                <w:sz w:val="16"/>
                <w:szCs w:val="16"/>
              </w:rPr>
              <w:t xml:space="preserve">Pedro Emilio Rodríguez </w:t>
            </w:r>
            <w:proofErr w:type="spellStart"/>
            <w:r w:rsidRPr="00AC46AD">
              <w:rPr>
                <w:sz w:val="16"/>
                <w:szCs w:val="16"/>
              </w:rPr>
              <w:t>Velandía</w:t>
            </w:r>
            <w:proofErr w:type="spellEnd"/>
          </w:p>
        </w:tc>
        <w:tc>
          <w:tcPr>
            <w:tcW w:w="3144" w:type="dxa"/>
          </w:tcPr>
          <w:p w:rsidR="00FC3AA7" w:rsidRPr="00AC46AD" w:rsidRDefault="00A979B1">
            <w:pPr>
              <w:pStyle w:val="TableParagraph"/>
              <w:spacing w:line="434" w:lineRule="auto"/>
              <w:rPr>
                <w:sz w:val="16"/>
                <w:szCs w:val="16"/>
              </w:rPr>
            </w:pPr>
            <w:r w:rsidRPr="00AC46AD">
              <w:rPr>
                <w:sz w:val="16"/>
                <w:szCs w:val="16"/>
              </w:rPr>
              <w:t>Instituto para la investigación Educativa y el Desarrollo Pedagógico – IDEP.</w:t>
            </w:r>
          </w:p>
        </w:tc>
        <w:tc>
          <w:tcPr>
            <w:tcW w:w="3329" w:type="dxa"/>
          </w:tcPr>
          <w:p w:rsidR="00FC3AA7" w:rsidRPr="00AC46AD" w:rsidRDefault="00FC3AA7" w:rsidP="008948E1">
            <w:pPr>
              <w:pStyle w:val="TableParagraph"/>
              <w:spacing w:before="0"/>
              <w:ind w:left="0"/>
              <w:jc w:val="both"/>
              <w:rPr>
                <w:sz w:val="16"/>
                <w:szCs w:val="16"/>
              </w:rPr>
            </w:pPr>
          </w:p>
          <w:p w:rsidR="00FC3AA7" w:rsidRPr="00AC46AD" w:rsidRDefault="00FF12B2" w:rsidP="00CB293E">
            <w:pPr>
              <w:pStyle w:val="TableParagraph"/>
              <w:spacing w:before="105" w:after="240" w:line="360" w:lineRule="auto"/>
              <w:ind w:left="170" w:right="415"/>
              <w:jc w:val="both"/>
              <w:rPr>
                <w:sz w:val="16"/>
                <w:szCs w:val="16"/>
                <w:lang w:val="es-419"/>
              </w:rPr>
            </w:pPr>
            <w:r w:rsidRPr="00AC46AD">
              <w:rPr>
                <w:sz w:val="16"/>
                <w:szCs w:val="16"/>
              </w:rPr>
              <w:t xml:space="preserve">Demanda de nulidad simple </w:t>
            </w:r>
            <w:r w:rsidR="008948E1" w:rsidRPr="00AC46AD">
              <w:rPr>
                <w:sz w:val="16"/>
                <w:szCs w:val="16"/>
              </w:rPr>
              <w:t xml:space="preserve">Al Despacho para </w:t>
            </w:r>
            <w:r w:rsidR="004A4DC0" w:rsidRPr="00AC46AD">
              <w:rPr>
                <w:sz w:val="16"/>
                <w:szCs w:val="16"/>
              </w:rPr>
              <w:t>decisión de fondo</w:t>
            </w:r>
          </w:p>
        </w:tc>
        <w:tc>
          <w:tcPr>
            <w:tcW w:w="1349" w:type="dxa"/>
          </w:tcPr>
          <w:p w:rsidR="00FC3AA7" w:rsidRPr="00AC46AD" w:rsidRDefault="00A979B1">
            <w:pPr>
              <w:pStyle w:val="TableParagraph"/>
              <w:rPr>
                <w:sz w:val="16"/>
                <w:szCs w:val="16"/>
              </w:rPr>
            </w:pPr>
            <w:r w:rsidRPr="00AC46AD">
              <w:rPr>
                <w:sz w:val="16"/>
                <w:szCs w:val="16"/>
              </w:rPr>
              <w:t>N.A.</w:t>
            </w:r>
          </w:p>
        </w:tc>
        <w:tc>
          <w:tcPr>
            <w:tcW w:w="2231" w:type="dxa"/>
          </w:tcPr>
          <w:p w:rsidR="00FC3AA7" w:rsidRPr="00AC46AD" w:rsidRDefault="00A979B1">
            <w:pPr>
              <w:pStyle w:val="TableParagraph"/>
              <w:spacing w:before="96"/>
              <w:rPr>
                <w:sz w:val="16"/>
                <w:szCs w:val="16"/>
              </w:rPr>
            </w:pPr>
            <w:r w:rsidRPr="00AC46AD">
              <w:rPr>
                <w:sz w:val="16"/>
                <w:szCs w:val="16"/>
              </w:rPr>
              <w:t>Bajo</w:t>
            </w:r>
          </w:p>
        </w:tc>
      </w:tr>
      <w:tr w:rsidR="00FC3AA7" w:rsidRPr="00AC46AD" w:rsidTr="00AC46AD">
        <w:trPr>
          <w:trHeight w:val="862"/>
        </w:trPr>
        <w:tc>
          <w:tcPr>
            <w:tcW w:w="2765" w:type="dxa"/>
          </w:tcPr>
          <w:p w:rsidR="00FC3AA7" w:rsidRPr="00AC46AD" w:rsidRDefault="00A979B1">
            <w:pPr>
              <w:pStyle w:val="TableParagraph"/>
              <w:spacing w:before="138" w:line="393" w:lineRule="auto"/>
              <w:ind w:left="355" w:right="512" w:hanging="248"/>
              <w:rPr>
                <w:b/>
                <w:sz w:val="16"/>
                <w:szCs w:val="16"/>
              </w:rPr>
            </w:pPr>
            <w:r w:rsidRPr="00AC46AD">
              <w:rPr>
                <w:b/>
                <w:w w:val="95"/>
                <w:sz w:val="16"/>
                <w:szCs w:val="16"/>
              </w:rPr>
              <w:t xml:space="preserve">3. Demanda de reparación </w:t>
            </w:r>
            <w:r w:rsidRPr="00AC46AD">
              <w:rPr>
                <w:b/>
                <w:sz w:val="16"/>
                <w:szCs w:val="16"/>
              </w:rPr>
              <w:t>directa</w:t>
            </w:r>
          </w:p>
        </w:tc>
        <w:tc>
          <w:tcPr>
            <w:tcW w:w="2932" w:type="dxa"/>
          </w:tcPr>
          <w:p w:rsidR="00FC3AA7" w:rsidRPr="00AC46AD" w:rsidRDefault="00A979B1">
            <w:pPr>
              <w:pStyle w:val="TableParagraph"/>
              <w:ind w:left="105"/>
              <w:rPr>
                <w:sz w:val="16"/>
                <w:szCs w:val="16"/>
              </w:rPr>
            </w:pPr>
            <w:r w:rsidRPr="00AC46AD">
              <w:rPr>
                <w:sz w:val="16"/>
                <w:szCs w:val="16"/>
              </w:rPr>
              <w:t>Empresa de telecomunicaciones de Bogotá – E.T.B.</w:t>
            </w:r>
          </w:p>
        </w:tc>
        <w:tc>
          <w:tcPr>
            <w:tcW w:w="3144" w:type="dxa"/>
          </w:tcPr>
          <w:p w:rsidR="00FC3AA7" w:rsidRPr="00AC46AD" w:rsidRDefault="00A979B1">
            <w:pPr>
              <w:pStyle w:val="TableParagraph"/>
              <w:spacing w:line="434" w:lineRule="auto"/>
              <w:rPr>
                <w:sz w:val="16"/>
                <w:szCs w:val="16"/>
              </w:rPr>
            </w:pPr>
            <w:r w:rsidRPr="00AC46AD">
              <w:rPr>
                <w:sz w:val="16"/>
                <w:szCs w:val="16"/>
              </w:rPr>
              <w:t>Instituto para la investigación Educativa y el Desarrollo Pedagógico – IDEP.</w:t>
            </w:r>
          </w:p>
        </w:tc>
        <w:tc>
          <w:tcPr>
            <w:tcW w:w="3329" w:type="dxa"/>
          </w:tcPr>
          <w:p w:rsidR="00FC3AA7" w:rsidRPr="00AC46AD" w:rsidRDefault="00391748" w:rsidP="00AC46AD">
            <w:pPr>
              <w:pStyle w:val="TableParagraph"/>
              <w:spacing w:before="105" w:after="240" w:line="360" w:lineRule="auto"/>
              <w:ind w:left="258" w:right="415"/>
              <w:jc w:val="both"/>
              <w:rPr>
                <w:sz w:val="16"/>
                <w:szCs w:val="16"/>
              </w:rPr>
            </w:pPr>
            <w:bookmarkStart w:id="0" w:name="_GoBack"/>
            <w:bookmarkEnd w:id="0"/>
            <w:r w:rsidRPr="00AC46AD">
              <w:rPr>
                <w:sz w:val="16"/>
                <w:szCs w:val="16"/>
              </w:rPr>
              <w:t>Rad</w:t>
            </w:r>
            <w:r w:rsidR="004A4DC0" w:rsidRPr="00AC46AD">
              <w:rPr>
                <w:sz w:val="16"/>
                <w:szCs w:val="16"/>
              </w:rPr>
              <w:t xml:space="preserve">icación alegatos de conclusión </w:t>
            </w:r>
            <w:r w:rsidRPr="00AC46AD">
              <w:rPr>
                <w:sz w:val="16"/>
                <w:szCs w:val="16"/>
              </w:rPr>
              <w:t xml:space="preserve"> pendiente de sentencia </w:t>
            </w:r>
          </w:p>
        </w:tc>
        <w:tc>
          <w:tcPr>
            <w:tcW w:w="1349" w:type="dxa"/>
          </w:tcPr>
          <w:p w:rsidR="00FC3AA7" w:rsidRPr="00AC46AD" w:rsidRDefault="00A979B1">
            <w:pPr>
              <w:pStyle w:val="TableParagraph"/>
              <w:rPr>
                <w:sz w:val="16"/>
                <w:szCs w:val="16"/>
              </w:rPr>
            </w:pPr>
            <w:r w:rsidRPr="00AC46AD">
              <w:rPr>
                <w:sz w:val="16"/>
                <w:szCs w:val="16"/>
              </w:rPr>
              <w:t>$6.984.854</w:t>
            </w:r>
          </w:p>
        </w:tc>
        <w:tc>
          <w:tcPr>
            <w:tcW w:w="2231" w:type="dxa"/>
          </w:tcPr>
          <w:p w:rsidR="00FC3AA7" w:rsidRPr="00AC46AD" w:rsidRDefault="00A979B1">
            <w:pPr>
              <w:pStyle w:val="TableParagraph"/>
              <w:spacing w:before="96"/>
              <w:rPr>
                <w:sz w:val="16"/>
                <w:szCs w:val="16"/>
              </w:rPr>
            </w:pPr>
            <w:r w:rsidRPr="00AC46AD">
              <w:rPr>
                <w:sz w:val="16"/>
                <w:szCs w:val="16"/>
              </w:rPr>
              <w:t>Bajo</w:t>
            </w:r>
          </w:p>
        </w:tc>
      </w:tr>
      <w:tr w:rsidR="00FC3AA7" w:rsidRPr="00AC46AD" w:rsidTr="00AC46AD">
        <w:trPr>
          <w:trHeight w:val="1084"/>
        </w:trPr>
        <w:tc>
          <w:tcPr>
            <w:tcW w:w="2765" w:type="dxa"/>
          </w:tcPr>
          <w:p w:rsidR="00FC3AA7" w:rsidRPr="00AC46AD" w:rsidRDefault="00A979B1">
            <w:pPr>
              <w:pStyle w:val="TableParagraph"/>
              <w:spacing w:before="138" w:line="393" w:lineRule="auto"/>
              <w:ind w:left="355" w:right="369" w:hanging="248"/>
              <w:rPr>
                <w:b/>
                <w:sz w:val="16"/>
                <w:szCs w:val="16"/>
              </w:rPr>
            </w:pPr>
            <w:r w:rsidRPr="00AC46AD">
              <w:rPr>
                <w:b/>
                <w:w w:val="95"/>
                <w:sz w:val="16"/>
                <w:szCs w:val="16"/>
              </w:rPr>
              <w:t>4.</w:t>
            </w:r>
            <w:r w:rsidRPr="00AC46AD">
              <w:rPr>
                <w:b/>
                <w:spacing w:val="-7"/>
                <w:w w:val="95"/>
                <w:sz w:val="16"/>
                <w:szCs w:val="16"/>
              </w:rPr>
              <w:t xml:space="preserve"> </w:t>
            </w:r>
            <w:r w:rsidRPr="00AC46AD">
              <w:rPr>
                <w:b/>
                <w:w w:val="95"/>
                <w:sz w:val="16"/>
                <w:szCs w:val="16"/>
              </w:rPr>
              <w:t>Denuncia</w:t>
            </w:r>
            <w:r w:rsidRPr="00AC46AD">
              <w:rPr>
                <w:b/>
                <w:spacing w:val="-35"/>
                <w:w w:val="95"/>
                <w:sz w:val="16"/>
                <w:szCs w:val="16"/>
              </w:rPr>
              <w:t xml:space="preserve"> </w:t>
            </w:r>
            <w:r w:rsidRPr="00AC46AD">
              <w:rPr>
                <w:b/>
                <w:w w:val="95"/>
                <w:sz w:val="16"/>
                <w:szCs w:val="16"/>
              </w:rPr>
              <w:t>penal</w:t>
            </w:r>
            <w:r w:rsidRPr="00AC46AD">
              <w:rPr>
                <w:b/>
                <w:spacing w:val="-34"/>
                <w:w w:val="95"/>
                <w:sz w:val="16"/>
                <w:szCs w:val="16"/>
              </w:rPr>
              <w:t xml:space="preserve"> </w:t>
            </w:r>
            <w:r w:rsidRPr="00AC46AD">
              <w:rPr>
                <w:b/>
                <w:w w:val="95"/>
                <w:sz w:val="16"/>
                <w:szCs w:val="16"/>
              </w:rPr>
              <w:t>–</w:t>
            </w:r>
            <w:r w:rsidRPr="00AC46AD">
              <w:rPr>
                <w:b/>
                <w:spacing w:val="-31"/>
                <w:w w:val="95"/>
                <w:sz w:val="16"/>
                <w:szCs w:val="16"/>
              </w:rPr>
              <w:t xml:space="preserve"> </w:t>
            </w:r>
            <w:r w:rsidRPr="00AC46AD">
              <w:rPr>
                <w:b/>
                <w:w w:val="95"/>
                <w:sz w:val="16"/>
                <w:szCs w:val="16"/>
              </w:rPr>
              <w:t xml:space="preserve">Peculado </w:t>
            </w:r>
            <w:r w:rsidRPr="00AC46AD">
              <w:rPr>
                <w:b/>
                <w:sz w:val="16"/>
                <w:szCs w:val="16"/>
              </w:rPr>
              <w:t>por</w:t>
            </w:r>
            <w:r w:rsidRPr="00AC46AD">
              <w:rPr>
                <w:b/>
                <w:spacing w:val="-20"/>
                <w:sz w:val="16"/>
                <w:szCs w:val="16"/>
              </w:rPr>
              <w:t xml:space="preserve"> </w:t>
            </w:r>
            <w:r w:rsidRPr="00AC46AD">
              <w:rPr>
                <w:b/>
                <w:sz w:val="16"/>
                <w:szCs w:val="16"/>
              </w:rPr>
              <w:t>apropiación</w:t>
            </w:r>
          </w:p>
        </w:tc>
        <w:tc>
          <w:tcPr>
            <w:tcW w:w="2932" w:type="dxa"/>
          </w:tcPr>
          <w:p w:rsidR="00FC3AA7" w:rsidRPr="00AC46AD" w:rsidRDefault="00A979B1">
            <w:pPr>
              <w:pStyle w:val="TableParagraph"/>
              <w:spacing w:line="436" w:lineRule="auto"/>
              <w:ind w:left="105" w:right="87"/>
              <w:rPr>
                <w:sz w:val="16"/>
                <w:szCs w:val="16"/>
              </w:rPr>
            </w:pPr>
            <w:r w:rsidRPr="00AC46AD">
              <w:rPr>
                <w:sz w:val="16"/>
                <w:szCs w:val="16"/>
              </w:rPr>
              <w:t>Instituto para la investigación Educativa y el Desarrollo Pedagógico – IDEP.</w:t>
            </w:r>
          </w:p>
        </w:tc>
        <w:tc>
          <w:tcPr>
            <w:tcW w:w="3144" w:type="dxa"/>
          </w:tcPr>
          <w:p w:rsidR="00FC3AA7" w:rsidRPr="00AC46AD" w:rsidRDefault="00A979B1">
            <w:pPr>
              <w:pStyle w:val="TableParagraph"/>
              <w:spacing w:line="436" w:lineRule="auto"/>
              <w:ind w:right="491"/>
              <w:rPr>
                <w:sz w:val="16"/>
                <w:szCs w:val="16"/>
              </w:rPr>
            </w:pPr>
            <w:r w:rsidRPr="00AC46AD">
              <w:rPr>
                <w:sz w:val="16"/>
                <w:szCs w:val="16"/>
              </w:rPr>
              <w:t>Juan Francisco Salcedo Reyes</w:t>
            </w:r>
          </w:p>
        </w:tc>
        <w:tc>
          <w:tcPr>
            <w:tcW w:w="3329" w:type="dxa"/>
          </w:tcPr>
          <w:p w:rsidR="00CB293E" w:rsidRPr="00AC46AD" w:rsidRDefault="002128A5" w:rsidP="00CB293E">
            <w:pPr>
              <w:pStyle w:val="TableParagraph"/>
              <w:spacing w:line="436" w:lineRule="auto"/>
              <w:ind w:left="170" w:right="98" w:hanging="44"/>
              <w:jc w:val="both"/>
              <w:rPr>
                <w:sz w:val="16"/>
                <w:szCs w:val="16"/>
              </w:rPr>
            </w:pPr>
            <w:r w:rsidRPr="00AC46AD">
              <w:rPr>
                <w:sz w:val="16"/>
                <w:szCs w:val="16"/>
              </w:rPr>
              <w:t xml:space="preserve">El </w:t>
            </w:r>
            <w:r w:rsidR="00CB293E" w:rsidRPr="00AC46AD">
              <w:rPr>
                <w:sz w:val="16"/>
                <w:szCs w:val="16"/>
              </w:rPr>
              <w:t>1 de abril de 2019 a las 3:00 p.m., se llevó a cabo la Audiencia Preparatoria ante el Juzgado 40 Penal de Circuito de Bogotá con función de conocimiento, en donde la fiscal 7ª especializada de Bogotá aceptó un preacuerdo con la defensa del acusado en el que se cambió el delito de peculado por apropiación por peculado culposo, teniendo en cuenta que ya había abonado la totalidad del valor apropiado.</w:t>
            </w:r>
          </w:p>
          <w:p w:rsidR="00CB293E" w:rsidRPr="00AC46AD" w:rsidRDefault="00CB293E" w:rsidP="00CB293E">
            <w:pPr>
              <w:pStyle w:val="TableParagraph"/>
              <w:spacing w:line="436" w:lineRule="auto"/>
              <w:ind w:left="170" w:right="98" w:hanging="44"/>
              <w:jc w:val="both"/>
              <w:rPr>
                <w:sz w:val="16"/>
                <w:szCs w:val="16"/>
              </w:rPr>
            </w:pPr>
            <w:r w:rsidRPr="00AC46AD">
              <w:rPr>
                <w:sz w:val="16"/>
                <w:szCs w:val="16"/>
              </w:rPr>
              <w:lastRenderedPageBreak/>
              <w:t xml:space="preserve">Razón por la cual se procedió a dictar sentencia anticipada condenando a veinte (20) meses de prisión, veinte (20) </w:t>
            </w:r>
            <w:proofErr w:type="spellStart"/>
            <w:r w:rsidRPr="00AC46AD">
              <w:rPr>
                <w:sz w:val="16"/>
                <w:szCs w:val="16"/>
              </w:rPr>
              <w:t>s.m.m.l.v</w:t>
            </w:r>
            <w:proofErr w:type="spellEnd"/>
            <w:r w:rsidRPr="00AC46AD">
              <w:rPr>
                <w:sz w:val="16"/>
                <w:szCs w:val="16"/>
              </w:rPr>
              <w:t>. en calidad de multa y veinte (20) meses de inhabilidad en el sector público.</w:t>
            </w:r>
          </w:p>
          <w:p w:rsidR="008948E1" w:rsidRPr="00AC46AD" w:rsidRDefault="00CB293E" w:rsidP="00CB293E">
            <w:pPr>
              <w:pStyle w:val="TableParagraph"/>
              <w:spacing w:line="436" w:lineRule="auto"/>
              <w:ind w:left="170" w:right="98" w:hanging="44"/>
              <w:jc w:val="both"/>
              <w:rPr>
                <w:sz w:val="16"/>
                <w:szCs w:val="16"/>
              </w:rPr>
            </w:pPr>
            <w:r w:rsidRPr="00AC46AD">
              <w:rPr>
                <w:sz w:val="16"/>
                <w:szCs w:val="16"/>
              </w:rPr>
              <w:t xml:space="preserve">En relación al valor total del lucro cesante se realizará incidente de reparación integral. </w:t>
            </w:r>
          </w:p>
        </w:tc>
        <w:tc>
          <w:tcPr>
            <w:tcW w:w="1349" w:type="dxa"/>
          </w:tcPr>
          <w:p w:rsidR="00FC3AA7" w:rsidRPr="00AC46AD" w:rsidRDefault="009E0EEF" w:rsidP="004A4DC0">
            <w:pPr>
              <w:pStyle w:val="TableParagraph"/>
              <w:rPr>
                <w:sz w:val="16"/>
                <w:szCs w:val="16"/>
              </w:rPr>
            </w:pPr>
            <w:r w:rsidRPr="00AC46AD">
              <w:rPr>
                <w:sz w:val="16"/>
                <w:szCs w:val="16"/>
              </w:rPr>
              <w:lastRenderedPageBreak/>
              <w:t>$</w:t>
            </w:r>
            <w:r w:rsidR="004A4DC0" w:rsidRPr="00AC46AD">
              <w:rPr>
                <w:sz w:val="16"/>
                <w:szCs w:val="16"/>
              </w:rPr>
              <w:t>24.125.353</w:t>
            </w:r>
          </w:p>
        </w:tc>
        <w:tc>
          <w:tcPr>
            <w:tcW w:w="2231" w:type="dxa"/>
          </w:tcPr>
          <w:p w:rsidR="00FC3AA7" w:rsidRPr="00AC46AD" w:rsidRDefault="000409CD">
            <w:pPr>
              <w:pStyle w:val="TableParagraph"/>
              <w:spacing w:before="96"/>
              <w:rPr>
                <w:sz w:val="16"/>
                <w:szCs w:val="16"/>
              </w:rPr>
            </w:pPr>
            <w:r w:rsidRPr="00AC46AD">
              <w:rPr>
                <w:sz w:val="16"/>
                <w:szCs w:val="16"/>
              </w:rPr>
              <w:t>Bajo</w:t>
            </w:r>
          </w:p>
        </w:tc>
      </w:tr>
      <w:tr w:rsidR="000B2A22" w:rsidRPr="00AC46AD" w:rsidTr="00AC46AD">
        <w:trPr>
          <w:trHeight w:val="2060"/>
        </w:trPr>
        <w:tc>
          <w:tcPr>
            <w:tcW w:w="2765" w:type="dxa"/>
          </w:tcPr>
          <w:p w:rsidR="000B2A22" w:rsidRPr="00AC46AD" w:rsidRDefault="009E0EEF" w:rsidP="009E0EEF">
            <w:pPr>
              <w:pStyle w:val="TableParagraph"/>
              <w:spacing w:before="138" w:line="393" w:lineRule="auto"/>
              <w:ind w:left="355" w:right="369" w:hanging="248"/>
              <w:rPr>
                <w:b/>
                <w:w w:val="95"/>
                <w:sz w:val="16"/>
                <w:szCs w:val="16"/>
              </w:rPr>
            </w:pPr>
            <w:r w:rsidRPr="00AC46AD">
              <w:rPr>
                <w:b/>
                <w:w w:val="95"/>
                <w:sz w:val="16"/>
                <w:szCs w:val="16"/>
              </w:rPr>
              <w:t xml:space="preserve">5.  Proceso laboral </w:t>
            </w:r>
          </w:p>
        </w:tc>
        <w:tc>
          <w:tcPr>
            <w:tcW w:w="2932" w:type="dxa"/>
          </w:tcPr>
          <w:p w:rsidR="000B2A22" w:rsidRPr="00AC46AD" w:rsidRDefault="005C4892">
            <w:pPr>
              <w:pStyle w:val="TableParagraph"/>
              <w:spacing w:line="436" w:lineRule="auto"/>
              <w:ind w:left="105" w:right="87"/>
              <w:rPr>
                <w:sz w:val="16"/>
                <w:szCs w:val="16"/>
              </w:rPr>
            </w:pPr>
            <w:r w:rsidRPr="00AC46AD">
              <w:rPr>
                <w:sz w:val="16"/>
                <w:szCs w:val="16"/>
              </w:rPr>
              <w:t>Instituto para la investigación Educativa y el Desarrollo Pedagógico – IDEP.</w:t>
            </w:r>
          </w:p>
        </w:tc>
        <w:tc>
          <w:tcPr>
            <w:tcW w:w="3144" w:type="dxa"/>
          </w:tcPr>
          <w:p w:rsidR="000B2A22" w:rsidRPr="00AC46AD" w:rsidRDefault="005C4892">
            <w:pPr>
              <w:pStyle w:val="TableParagraph"/>
              <w:spacing w:line="436" w:lineRule="auto"/>
              <w:ind w:right="491"/>
              <w:rPr>
                <w:sz w:val="16"/>
                <w:szCs w:val="16"/>
              </w:rPr>
            </w:pPr>
            <w:r w:rsidRPr="00AC46AD">
              <w:rPr>
                <w:sz w:val="16"/>
                <w:szCs w:val="16"/>
              </w:rPr>
              <w:t xml:space="preserve">Liberty Seguros S.A. </w:t>
            </w:r>
          </w:p>
        </w:tc>
        <w:tc>
          <w:tcPr>
            <w:tcW w:w="3329" w:type="dxa"/>
          </w:tcPr>
          <w:p w:rsidR="000B2A22" w:rsidRPr="00AC46AD" w:rsidRDefault="009E0EEF" w:rsidP="00AC46AD">
            <w:pPr>
              <w:pStyle w:val="TableParagraph"/>
              <w:spacing w:line="436" w:lineRule="auto"/>
              <w:ind w:left="170" w:right="98" w:hanging="44"/>
              <w:jc w:val="both"/>
              <w:rPr>
                <w:sz w:val="16"/>
                <w:szCs w:val="16"/>
              </w:rPr>
            </w:pPr>
            <w:r w:rsidRPr="00AC46AD">
              <w:rPr>
                <w:sz w:val="16"/>
                <w:szCs w:val="16"/>
              </w:rPr>
              <w:t xml:space="preserve">El </w:t>
            </w:r>
            <w:r w:rsidR="005C4892" w:rsidRPr="00AC46AD">
              <w:rPr>
                <w:sz w:val="16"/>
                <w:szCs w:val="16"/>
              </w:rPr>
              <w:t>Consejo Superior de la Judicatura</w:t>
            </w:r>
            <w:r w:rsidRPr="00AC46AD">
              <w:rPr>
                <w:sz w:val="16"/>
                <w:szCs w:val="16"/>
              </w:rPr>
              <w:t xml:space="preserve"> dirimió </w:t>
            </w:r>
            <w:r w:rsidR="005C4892" w:rsidRPr="00AC46AD">
              <w:rPr>
                <w:sz w:val="16"/>
                <w:szCs w:val="16"/>
              </w:rPr>
              <w:t>el conflicto negativo de competencias</w:t>
            </w:r>
            <w:r w:rsidRPr="00AC46AD">
              <w:rPr>
                <w:sz w:val="16"/>
                <w:szCs w:val="16"/>
              </w:rPr>
              <w:t xml:space="preserve">, decidiendo que quien conoce </w:t>
            </w:r>
            <w:r w:rsidR="003E6D8C" w:rsidRPr="00AC46AD">
              <w:rPr>
                <w:sz w:val="16"/>
                <w:szCs w:val="16"/>
              </w:rPr>
              <w:t>d</w:t>
            </w:r>
            <w:r w:rsidRPr="00AC46AD">
              <w:rPr>
                <w:sz w:val="16"/>
                <w:szCs w:val="16"/>
              </w:rPr>
              <w:t xml:space="preserve">el proceso es el Juzgado 1 Laboral del Circuito, a la fecha se encuentra pendiente de calificación de la admisión de la demanda </w:t>
            </w:r>
          </w:p>
          <w:p w:rsidR="009E0EEF" w:rsidRPr="00AC46AD" w:rsidRDefault="009E0EEF" w:rsidP="008948E1">
            <w:pPr>
              <w:pStyle w:val="TableParagraph"/>
              <w:spacing w:line="436" w:lineRule="auto"/>
              <w:ind w:left="38" w:right="98" w:firstLine="88"/>
              <w:jc w:val="both"/>
              <w:rPr>
                <w:sz w:val="16"/>
                <w:szCs w:val="16"/>
              </w:rPr>
            </w:pPr>
          </w:p>
        </w:tc>
        <w:tc>
          <w:tcPr>
            <w:tcW w:w="1349" w:type="dxa"/>
          </w:tcPr>
          <w:p w:rsidR="000B2A22" w:rsidRPr="00AC46AD" w:rsidRDefault="009E0EEF">
            <w:pPr>
              <w:pStyle w:val="TableParagraph"/>
              <w:rPr>
                <w:sz w:val="16"/>
                <w:szCs w:val="16"/>
              </w:rPr>
            </w:pPr>
            <w:r w:rsidRPr="00AC46AD">
              <w:rPr>
                <w:sz w:val="16"/>
                <w:szCs w:val="16"/>
              </w:rPr>
              <w:t>Por definir</w:t>
            </w:r>
          </w:p>
        </w:tc>
        <w:tc>
          <w:tcPr>
            <w:tcW w:w="2231" w:type="dxa"/>
          </w:tcPr>
          <w:p w:rsidR="000B2A22" w:rsidRPr="00AC46AD" w:rsidRDefault="005C4892">
            <w:pPr>
              <w:pStyle w:val="TableParagraph"/>
              <w:spacing w:before="96"/>
              <w:rPr>
                <w:sz w:val="16"/>
                <w:szCs w:val="16"/>
              </w:rPr>
            </w:pPr>
            <w:r w:rsidRPr="00AC46AD">
              <w:rPr>
                <w:sz w:val="16"/>
                <w:szCs w:val="16"/>
              </w:rPr>
              <w:t>Medio</w:t>
            </w:r>
          </w:p>
        </w:tc>
      </w:tr>
      <w:tr w:rsidR="009E0EEF" w:rsidRPr="00AC46AD" w:rsidTr="00AC46AD">
        <w:trPr>
          <w:trHeight w:val="1828"/>
        </w:trPr>
        <w:tc>
          <w:tcPr>
            <w:tcW w:w="2765" w:type="dxa"/>
          </w:tcPr>
          <w:p w:rsidR="009E0EEF" w:rsidRPr="00AC46AD" w:rsidRDefault="009E0EEF" w:rsidP="005C4892">
            <w:pPr>
              <w:pStyle w:val="TableParagraph"/>
              <w:spacing w:before="138" w:line="393" w:lineRule="auto"/>
              <w:ind w:left="355" w:right="369" w:hanging="248"/>
              <w:rPr>
                <w:b/>
                <w:w w:val="95"/>
                <w:sz w:val="16"/>
                <w:szCs w:val="16"/>
              </w:rPr>
            </w:pPr>
            <w:r w:rsidRPr="00AC46AD">
              <w:rPr>
                <w:b/>
                <w:w w:val="95"/>
                <w:sz w:val="16"/>
                <w:szCs w:val="16"/>
              </w:rPr>
              <w:t xml:space="preserve">6. Tutela </w:t>
            </w:r>
          </w:p>
        </w:tc>
        <w:tc>
          <w:tcPr>
            <w:tcW w:w="2932" w:type="dxa"/>
          </w:tcPr>
          <w:p w:rsidR="009E0EEF" w:rsidRPr="00AC46AD" w:rsidRDefault="009E0EEF" w:rsidP="009E0EEF">
            <w:pPr>
              <w:pStyle w:val="TableParagraph"/>
              <w:spacing w:line="436" w:lineRule="auto"/>
              <w:ind w:left="105" w:right="87"/>
              <w:rPr>
                <w:sz w:val="16"/>
                <w:szCs w:val="16"/>
              </w:rPr>
            </w:pPr>
            <w:r w:rsidRPr="00AC46AD">
              <w:rPr>
                <w:sz w:val="16"/>
                <w:szCs w:val="16"/>
              </w:rPr>
              <w:t xml:space="preserve">Diana Marcela Zarabanda Suarez </w:t>
            </w:r>
          </w:p>
        </w:tc>
        <w:tc>
          <w:tcPr>
            <w:tcW w:w="3144" w:type="dxa"/>
          </w:tcPr>
          <w:p w:rsidR="009E0EEF" w:rsidRPr="00AC46AD" w:rsidRDefault="009E0EEF">
            <w:pPr>
              <w:pStyle w:val="TableParagraph"/>
              <w:spacing w:line="436" w:lineRule="auto"/>
              <w:ind w:right="491"/>
              <w:rPr>
                <w:sz w:val="16"/>
                <w:szCs w:val="16"/>
              </w:rPr>
            </w:pPr>
            <w:r w:rsidRPr="00AC46AD">
              <w:rPr>
                <w:sz w:val="16"/>
                <w:szCs w:val="16"/>
              </w:rPr>
              <w:t>CNSC y otras entidades incluyendo el Instituto para la investigación Educativa y el Desarrollo Pedagógico – IDEP</w:t>
            </w:r>
          </w:p>
        </w:tc>
        <w:tc>
          <w:tcPr>
            <w:tcW w:w="3329" w:type="dxa"/>
          </w:tcPr>
          <w:p w:rsidR="008948E1" w:rsidRPr="00AC46AD" w:rsidRDefault="008948E1" w:rsidP="00AC46AD">
            <w:pPr>
              <w:pStyle w:val="TableParagraph"/>
              <w:spacing w:line="436" w:lineRule="auto"/>
              <w:ind w:left="170" w:right="98" w:hanging="44"/>
              <w:jc w:val="both"/>
              <w:rPr>
                <w:sz w:val="16"/>
                <w:szCs w:val="16"/>
              </w:rPr>
            </w:pPr>
            <w:r w:rsidRPr="00AC46AD">
              <w:rPr>
                <w:sz w:val="16"/>
                <w:szCs w:val="16"/>
              </w:rPr>
              <w:t>El día 21 de enero de 2019 fue remitido al correo electrónico de notificaciones judiciales de la entidad el fallo proferido por el Consejo de Estado, Sección Segunda Subsección B, en donde resuelve declarar improcedente la acción de tutela.</w:t>
            </w:r>
          </w:p>
        </w:tc>
        <w:tc>
          <w:tcPr>
            <w:tcW w:w="1349" w:type="dxa"/>
          </w:tcPr>
          <w:p w:rsidR="009E0EEF" w:rsidRPr="00AC46AD" w:rsidRDefault="000409CD">
            <w:pPr>
              <w:pStyle w:val="TableParagraph"/>
              <w:rPr>
                <w:sz w:val="16"/>
                <w:szCs w:val="16"/>
              </w:rPr>
            </w:pPr>
            <w:r w:rsidRPr="00AC46AD">
              <w:rPr>
                <w:sz w:val="16"/>
                <w:szCs w:val="16"/>
              </w:rPr>
              <w:t>N/A</w:t>
            </w:r>
          </w:p>
        </w:tc>
        <w:tc>
          <w:tcPr>
            <w:tcW w:w="2231" w:type="dxa"/>
          </w:tcPr>
          <w:p w:rsidR="009E0EEF" w:rsidRPr="00AC46AD" w:rsidRDefault="000409CD">
            <w:pPr>
              <w:pStyle w:val="TableParagraph"/>
              <w:spacing w:before="96"/>
              <w:rPr>
                <w:sz w:val="16"/>
                <w:szCs w:val="16"/>
              </w:rPr>
            </w:pPr>
            <w:r w:rsidRPr="00AC46AD">
              <w:rPr>
                <w:sz w:val="16"/>
                <w:szCs w:val="16"/>
              </w:rPr>
              <w:t>Bajo</w:t>
            </w:r>
          </w:p>
        </w:tc>
      </w:tr>
      <w:tr w:rsidR="00AC54F0" w:rsidRPr="00AC46AD" w:rsidTr="00AC46AD">
        <w:trPr>
          <w:trHeight w:val="1828"/>
        </w:trPr>
        <w:tc>
          <w:tcPr>
            <w:tcW w:w="2765" w:type="dxa"/>
          </w:tcPr>
          <w:p w:rsidR="00AC54F0" w:rsidRPr="00AC46AD" w:rsidRDefault="00AC54F0" w:rsidP="00AC54F0">
            <w:pPr>
              <w:pStyle w:val="TableParagraph"/>
              <w:spacing w:before="138" w:line="393" w:lineRule="auto"/>
              <w:ind w:left="355" w:right="369" w:hanging="248"/>
              <w:rPr>
                <w:b/>
                <w:w w:val="95"/>
                <w:sz w:val="16"/>
                <w:szCs w:val="16"/>
              </w:rPr>
            </w:pPr>
            <w:r w:rsidRPr="00AC46AD">
              <w:rPr>
                <w:b/>
                <w:w w:val="95"/>
                <w:sz w:val="16"/>
                <w:szCs w:val="16"/>
              </w:rPr>
              <w:t xml:space="preserve">6. Tutela </w:t>
            </w:r>
          </w:p>
        </w:tc>
        <w:tc>
          <w:tcPr>
            <w:tcW w:w="2932" w:type="dxa"/>
          </w:tcPr>
          <w:p w:rsidR="00AC54F0" w:rsidRPr="00AC46AD" w:rsidRDefault="00AC54F0" w:rsidP="00AC54F0">
            <w:pPr>
              <w:pStyle w:val="TableParagraph"/>
              <w:spacing w:line="436" w:lineRule="auto"/>
              <w:ind w:left="105" w:right="87"/>
              <w:rPr>
                <w:sz w:val="16"/>
                <w:szCs w:val="16"/>
              </w:rPr>
            </w:pPr>
            <w:r w:rsidRPr="00AC46AD">
              <w:rPr>
                <w:sz w:val="16"/>
                <w:szCs w:val="16"/>
              </w:rPr>
              <w:t>Martha Liliana Montoya Hurtado</w:t>
            </w:r>
          </w:p>
        </w:tc>
        <w:tc>
          <w:tcPr>
            <w:tcW w:w="3144" w:type="dxa"/>
          </w:tcPr>
          <w:p w:rsidR="00AC54F0" w:rsidRPr="00AC46AD" w:rsidRDefault="00AC54F0" w:rsidP="00AC54F0">
            <w:pPr>
              <w:pStyle w:val="TableParagraph"/>
              <w:spacing w:line="436" w:lineRule="auto"/>
              <w:ind w:right="491"/>
              <w:rPr>
                <w:sz w:val="16"/>
                <w:szCs w:val="16"/>
              </w:rPr>
            </w:pPr>
            <w:r w:rsidRPr="00AC46AD">
              <w:rPr>
                <w:sz w:val="16"/>
                <w:szCs w:val="16"/>
              </w:rPr>
              <w:t>CNSC y otras entidades incluyendo el Instituto para la investigación Educativa y el Desarrollo Pedagógico – IDEP</w:t>
            </w:r>
          </w:p>
        </w:tc>
        <w:tc>
          <w:tcPr>
            <w:tcW w:w="3329" w:type="dxa"/>
          </w:tcPr>
          <w:p w:rsidR="00AC54F0" w:rsidRPr="00AC46AD" w:rsidRDefault="008948E1" w:rsidP="00AC46AD">
            <w:pPr>
              <w:pStyle w:val="TableParagraph"/>
              <w:spacing w:line="436" w:lineRule="auto"/>
              <w:ind w:left="170" w:right="98"/>
              <w:jc w:val="both"/>
              <w:rPr>
                <w:sz w:val="16"/>
                <w:szCs w:val="16"/>
              </w:rPr>
            </w:pPr>
            <w:r w:rsidRPr="00AC46AD">
              <w:rPr>
                <w:sz w:val="16"/>
                <w:szCs w:val="16"/>
              </w:rPr>
              <w:t>El día 7 de febrero de 2019 fue remitido al correo electrónico de notificaciones judiciales de la entidad el fallo proferido por el Consejo de Estado, Sección Segunda Subsección B, en donde resuelve declarar improcedente la acción de tutela</w:t>
            </w:r>
          </w:p>
        </w:tc>
        <w:tc>
          <w:tcPr>
            <w:tcW w:w="1349" w:type="dxa"/>
          </w:tcPr>
          <w:p w:rsidR="00AC54F0" w:rsidRPr="00AC46AD" w:rsidRDefault="00AC54F0" w:rsidP="00AC54F0">
            <w:pPr>
              <w:pStyle w:val="TableParagraph"/>
              <w:rPr>
                <w:sz w:val="16"/>
                <w:szCs w:val="16"/>
              </w:rPr>
            </w:pPr>
            <w:r w:rsidRPr="00AC46AD">
              <w:rPr>
                <w:sz w:val="16"/>
                <w:szCs w:val="16"/>
              </w:rPr>
              <w:t>N/A</w:t>
            </w:r>
          </w:p>
        </w:tc>
        <w:tc>
          <w:tcPr>
            <w:tcW w:w="2231" w:type="dxa"/>
          </w:tcPr>
          <w:p w:rsidR="00AC54F0" w:rsidRPr="00AC46AD" w:rsidRDefault="00AC54F0" w:rsidP="00AC54F0">
            <w:pPr>
              <w:pStyle w:val="TableParagraph"/>
              <w:spacing w:before="96"/>
              <w:rPr>
                <w:sz w:val="16"/>
                <w:szCs w:val="16"/>
              </w:rPr>
            </w:pPr>
            <w:r w:rsidRPr="00AC46AD">
              <w:rPr>
                <w:sz w:val="16"/>
                <w:szCs w:val="16"/>
              </w:rPr>
              <w:t>Bajo</w:t>
            </w:r>
          </w:p>
        </w:tc>
      </w:tr>
      <w:tr w:rsidR="00AC54F0" w:rsidRPr="00AC46AD" w:rsidTr="00AC46AD">
        <w:trPr>
          <w:trHeight w:val="276"/>
        </w:trPr>
        <w:tc>
          <w:tcPr>
            <w:tcW w:w="2765" w:type="dxa"/>
          </w:tcPr>
          <w:p w:rsidR="00AC54F0" w:rsidRPr="00AC46AD" w:rsidRDefault="00AC54F0" w:rsidP="00AC54F0">
            <w:pPr>
              <w:pStyle w:val="TableParagraph"/>
              <w:spacing w:before="138" w:line="393" w:lineRule="auto"/>
              <w:ind w:left="355" w:right="369" w:hanging="248"/>
              <w:rPr>
                <w:b/>
                <w:w w:val="95"/>
                <w:sz w:val="16"/>
                <w:szCs w:val="16"/>
              </w:rPr>
            </w:pPr>
            <w:r w:rsidRPr="00AC46AD">
              <w:rPr>
                <w:b/>
                <w:w w:val="95"/>
                <w:sz w:val="16"/>
                <w:szCs w:val="16"/>
              </w:rPr>
              <w:t xml:space="preserve">6. Tutela </w:t>
            </w:r>
          </w:p>
        </w:tc>
        <w:tc>
          <w:tcPr>
            <w:tcW w:w="2932" w:type="dxa"/>
          </w:tcPr>
          <w:p w:rsidR="00AC54F0" w:rsidRPr="00AC46AD" w:rsidRDefault="00AC54F0" w:rsidP="00AC54F0">
            <w:pPr>
              <w:pStyle w:val="TableParagraph"/>
              <w:spacing w:line="436" w:lineRule="auto"/>
              <w:ind w:left="105" w:right="87"/>
              <w:rPr>
                <w:sz w:val="16"/>
                <w:szCs w:val="16"/>
              </w:rPr>
            </w:pPr>
            <w:r w:rsidRPr="00AC46AD">
              <w:rPr>
                <w:sz w:val="16"/>
                <w:szCs w:val="16"/>
              </w:rPr>
              <w:t>Gina Paola Gutiérrez Pérez</w:t>
            </w:r>
          </w:p>
        </w:tc>
        <w:tc>
          <w:tcPr>
            <w:tcW w:w="3144" w:type="dxa"/>
          </w:tcPr>
          <w:p w:rsidR="00AC54F0" w:rsidRPr="00AC46AD" w:rsidRDefault="00AC54F0" w:rsidP="00AC54F0">
            <w:pPr>
              <w:pStyle w:val="TableParagraph"/>
              <w:spacing w:line="436" w:lineRule="auto"/>
              <w:ind w:right="491"/>
              <w:rPr>
                <w:sz w:val="16"/>
                <w:szCs w:val="16"/>
              </w:rPr>
            </w:pPr>
            <w:r w:rsidRPr="00AC46AD">
              <w:rPr>
                <w:sz w:val="16"/>
                <w:szCs w:val="16"/>
              </w:rPr>
              <w:t xml:space="preserve">CNSC y otras entidades incluyendo el Instituto para la investigación Educativa y el Desarrollo </w:t>
            </w:r>
            <w:r w:rsidRPr="00AC46AD">
              <w:rPr>
                <w:sz w:val="16"/>
                <w:szCs w:val="16"/>
              </w:rPr>
              <w:lastRenderedPageBreak/>
              <w:t>Pedagógico – IDEP</w:t>
            </w:r>
          </w:p>
        </w:tc>
        <w:tc>
          <w:tcPr>
            <w:tcW w:w="3329" w:type="dxa"/>
          </w:tcPr>
          <w:p w:rsidR="00AC54F0" w:rsidRPr="00AC46AD" w:rsidRDefault="008948E1" w:rsidP="008948E1">
            <w:pPr>
              <w:pStyle w:val="TableParagraph"/>
              <w:spacing w:line="436" w:lineRule="auto"/>
              <w:ind w:left="38" w:right="98" w:firstLine="88"/>
              <w:jc w:val="both"/>
              <w:rPr>
                <w:sz w:val="16"/>
                <w:szCs w:val="16"/>
              </w:rPr>
            </w:pPr>
            <w:r w:rsidRPr="00AC46AD">
              <w:rPr>
                <w:sz w:val="16"/>
                <w:szCs w:val="16"/>
              </w:rPr>
              <w:lastRenderedPageBreak/>
              <w:t>Pendiente de fallo</w:t>
            </w:r>
          </w:p>
        </w:tc>
        <w:tc>
          <w:tcPr>
            <w:tcW w:w="1349" w:type="dxa"/>
          </w:tcPr>
          <w:p w:rsidR="00AC54F0" w:rsidRPr="00AC46AD" w:rsidRDefault="00AC54F0" w:rsidP="00AC54F0">
            <w:pPr>
              <w:pStyle w:val="TableParagraph"/>
              <w:rPr>
                <w:sz w:val="16"/>
                <w:szCs w:val="16"/>
              </w:rPr>
            </w:pPr>
            <w:r w:rsidRPr="00AC46AD">
              <w:rPr>
                <w:sz w:val="16"/>
                <w:szCs w:val="16"/>
              </w:rPr>
              <w:t>N/A</w:t>
            </w:r>
          </w:p>
        </w:tc>
        <w:tc>
          <w:tcPr>
            <w:tcW w:w="2231" w:type="dxa"/>
          </w:tcPr>
          <w:p w:rsidR="00AC54F0" w:rsidRPr="00AC46AD" w:rsidRDefault="00AC54F0" w:rsidP="00AC54F0">
            <w:pPr>
              <w:pStyle w:val="TableParagraph"/>
              <w:spacing w:before="96"/>
              <w:rPr>
                <w:sz w:val="16"/>
                <w:szCs w:val="16"/>
              </w:rPr>
            </w:pPr>
            <w:r w:rsidRPr="00AC46AD">
              <w:rPr>
                <w:sz w:val="16"/>
                <w:szCs w:val="16"/>
              </w:rPr>
              <w:t>Bajo</w:t>
            </w:r>
          </w:p>
        </w:tc>
      </w:tr>
      <w:tr w:rsidR="00CB293E" w:rsidRPr="00AC46AD" w:rsidTr="00AC46AD">
        <w:trPr>
          <w:trHeight w:val="1828"/>
        </w:trPr>
        <w:tc>
          <w:tcPr>
            <w:tcW w:w="2765" w:type="dxa"/>
          </w:tcPr>
          <w:p w:rsidR="00CB293E" w:rsidRPr="00AC46AD" w:rsidRDefault="00CB293E" w:rsidP="00AC54F0">
            <w:pPr>
              <w:pStyle w:val="TableParagraph"/>
              <w:spacing w:before="138" w:line="393" w:lineRule="auto"/>
              <w:ind w:left="355" w:right="369" w:hanging="248"/>
              <w:rPr>
                <w:b/>
                <w:w w:val="95"/>
                <w:sz w:val="16"/>
                <w:szCs w:val="16"/>
              </w:rPr>
            </w:pPr>
            <w:r w:rsidRPr="00AC46AD">
              <w:rPr>
                <w:b/>
                <w:w w:val="90"/>
                <w:sz w:val="16"/>
                <w:szCs w:val="16"/>
              </w:rPr>
              <w:t xml:space="preserve">7. </w:t>
            </w:r>
            <w:r w:rsidRPr="00AC46AD">
              <w:rPr>
                <w:b/>
                <w:w w:val="90"/>
                <w:sz w:val="16"/>
                <w:szCs w:val="16"/>
              </w:rPr>
              <w:t xml:space="preserve">Proceso administrativo </w:t>
            </w:r>
            <w:r w:rsidRPr="00AC46AD">
              <w:rPr>
                <w:b/>
                <w:sz w:val="16"/>
                <w:szCs w:val="16"/>
              </w:rPr>
              <w:t>nulidad simple</w:t>
            </w:r>
          </w:p>
        </w:tc>
        <w:tc>
          <w:tcPr>
            <w:tcW w:w="2932" w:type="dxa"/>
          </w:tcPr>
          <w:p w:rsidR="00CB293E" w:rsidRPr="00AC46AD" w:rsidRDefault="00CB293E" w:rsidP="00AC54F0">
            <w:pPr>
              <w:pStyle w:val="TableParagraph"/>
              <w:spacing w:line="436" w:lineRule="auto"/>
              <w:ind w:left="105" w:right="87"/>
              <w:rPr>
                <w:sz w:val="16"/>
                <w:szCs w:val="16"/>
              </w:rPr>
            </w:pPr>
            <w:r w:rsidRPr="00AC46AD">
              <w:rPr>
                <w:sz w:val="16"/>
                <w:szCs w:val="16"/>
              </w:rPr>
              <w:t xml:space="preserve">Martha </w:t>
            </w:r>
            <w:proofErr w:type="spellStart"/>
            <w:r w:rsidRPr="00AC46AD">
              <w:rPr>
                <w:sz w:val="16"/>
                <w:szCs w:val="16"/>
              </w:rPr>
              <w:t>Ivvete</w:t>
            </w:r>
            <w:proofErr w:type="spellEnd"/>
            <w:r w:rsidRPr="00AC46AD">
              <w:rPr>
                <w:sz w:val="16"/>
                <w:szCs w:val="16"/>
              </w:rPr>
              <w:t xml:space="preserve"> Ramírez Navarrete</w:t>
            </w:r>
          </w:p>
        </w:tc>
        <w:tc>
          <w:tcPr>
            <w:tcW w:w="3144" w:type="dxa"/>
          </w:tcPr>
          <w:p w:rsidR="00CB293E" w:rsidRPr="00AC46AD" w:rsidRDefault="00CB293E" w:rsidP="00AC54F0">
            <w:pPr>
              <w:pStyle w:val="TableParagraph"/>
              <w:spacing w:line="436" w:lineRule="auto"/>
              <w:ind w:right="491"/>
              <w:rPr>
                <w:sz w:val="16"/>
                <w:szCs w:val="16"/>
              </w:rPr>
            </w:pPr>
            <w:r w:rsidRPr="00AC46AD">
              <w:rPr>
                <w:sz w:val="16"/>
                <w:szCs w:val="16"/>
              </w:rPr>
              <w:t>CNSC y otras entidades incluyendo el Instituto para la investigación Educativa y el Desarrollo Pedagógico – IDEP</w:t>
            </w:r>
          </w:p>
        </w:tc>
        <w:tc>
          <w:tcPr>
            <w:tcW w:w="3329" w:type="dxa"/>
          </w:tcPr>
          <w:p w:rsidR="00CB293E" w:rsidRPr="00AC46AD" w:rsidRDefault="00AC46AD" w:rsidP="00AC46AD">
            <w:pPr>
              <w:pStyle w:val="TableParagraph"/>
              <w:spacing w:line="436" w:lineRule="auto"/>
              <w:ind w:left="38" w:right="98" w:firstLine="88"/>
              <w:jc w:val="both"/>
              <w:rPr>
                <w:sz w:val="16"/>
                <w:szCs w:val="16"/>
              </w:rPr>
            </w:pPr>
            <w:r w:rsidRPr="00AC46AD">
              <w:rPr>
                <w:sz w:val="16"/>
                <w:szCs w:val="16"/>
              </w:rPr>
              <w:t xml:space="preserve">El día 26 de marzo de 2019 fue remitido al correo electrónico de notificaciones judiciales la demanda y el auto </w:t>
            </w:r>
            <w:proofErr w:type="spellStart"/>
            <w:r w:rsidRPr="00AC46AD">
              <w:rPr>
                <w:sz w:val="16"/>
                <w:szCs w:val="16"/>
              </w:rPr>
              <w:t>admisorio</w:t>
            </w:r>
            <w:proofErr w:type="spellEnd"/>
            <w:r w:rsidRPr="00AC46AD">
              <w:rPr>
                <w:sz w:val="16"/>
                <w:szCs w:val="16"/>
              </w:rPr>
              <w:t xml:space="preserve"> de la demanda, donde se solicita la nulidad de los acuerdos: 1) Acuerdo No. CNSC–20161000001346, 2) </w:t>
            </w:r>
            <w:r w:rsidRPr="00AC46AD">
              <w:rPr>
                <w:sz w:val="16"/>
                <w:szCs w:val="16"/>
              </w:rPr>
              <w:t>Acuerdo No. CNSC–</w:t>
            </w:r>
            <w:r w:rsidRPr="00AC46AD">
              <w:rPr>
                <w:sz w:val="16"/>
                <w:szCs w:val="16"/>
              </w:rPr>
              <w:t xml:space="preserve">20161000001446 Y 3) </w:t>
            </w:r>
            <w:r w:rsidRPr="00AC46AD">
              <w:rPr>
                <w:sz w:val="16"/>
                <w:szCs w:val="16"/>
              </w:rPr>
              <w:t xml:space="preserve">Acuerdo No. CNSC– </w:t>
            </w:r>
            <w:r w:rsidRPr="00AC46AD">
              <w:rPr>
                <w:sz w:val="16"/>
                <w:szCs w:val="16"/>
              </w:rPr>
              <w:t>20161000001456</w:t>
            </w:r>
          </w:p>
        </w:tc>
        <w:tc>
          <w:tcPr>
            <w:tcW w:w="1349" w:type="dxa"/>
          </w:tcPr>
          <w:p w:rsidR="00CB293E" w:rsidRPr="00AC46AD" w:rsidRDefault="00CB293E" w:rsidP="00AC54F0">
            <w:pPr>
              <w:pStyle w:val="TableParagraph"/>
              <w:rPr>
                <w:sz w:val="16"/>
                <w:szCs w:val="16"/>
              </w:rPr>
            </w:pPr>
          </w:p>
        </w:tc>
        <w:tc>
          <w:tcPr>
            <w:tcW w:w="2231" w:type="dxa"/>
          </w:tcPr>
          <w:p w:rsidR="00CB293E" w:rsidRPr="00AC46AD" w:rsidRDefault="00CB293E" w:rsidP="00AC54F0">
            <w:pPr>
              <w:pStyle w:val="TableParagraph"/>
              <w:spacing w:before="96"/>
              <w:rPr>
                <w:sz w:val="16"/>
                <w:szCs w:val="16"/>
              </w:rPr>
            </w:pPr>
          </w:p>
        </w:tc>
      </w:tr>
    </w:tbl>
    <w:p w:rsidR="00FC3AA7" w:rsidRPr="005C4892" w:rsidRDefault="00FC3AA7" w:rsidP="005C4892">
      <w:pPr>
        <w:pStyle w:val="Textoindependiente"/>
        <w:spacing w:before="5"/>
        <w:rPr>
          <w:rFonts w:ascii="Times New Roman"/>
          <w:sz w:val="15"/>
        </w:rPr>
      </w:pPr>
    </w:p>
    <w:p w:rsidR="00FC3AA7" w:rsidRDefault="00DF2B29">
      <w:pPr>
        <w:pStyle w:val="Textoindependiente"/>
        <w:rPr>
          <w:rFonts w:ascii="Times New Roman"/>
          <w:sz w:val="20"/>
        </w:rPr>
      </w:pPr>
      <w:r>
        <w:rPr>
          <w:noProof/>
          <w:lang w:bidi="ar-SA"/>
        </w:rPr>
        <mc:AlternateContent>
          <mc:Choice Requires="wps">
            <w:drawing>
              <wp:anchor distT="0" distB="0" distL="0" distR="0" simplePos="0" relativeHeight="251658240" behindDoc="1" locked="0" layoutInCell="1" allowOverlap="1">
                <wp:simplePos x="0" y="0"/>
                <wp:positionH relativeFrom="page">
                  <wp:posOffset>8053705</wp:posOffset>
                </wp:positionH>
                <wp:positionV relativeFrom="paragraph">
                  <wp:posOffset>180975</wp:posOffset>
                </wp:positionV>
                <wp:extent cx="3388360" cy="276225"/>
                <wp:effectExtent l="5080" t="13970" r="6985" b="50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360"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3AA7" w:rsidRDefault="00A979B1">
                            <w:pPr>
                              <w:spacing w:before="76"/>
                              <w:ind w:left="146"/>
                              <w:rPr>
                                <w:rFonts w:ascii="Trebuchet MS"/>
                              </w:rPr>
                            </w:pPr>
                            <w:r>
                              <w:rPr>
                                <w:b/>
                                <w:sz w:val="20"/>
                              </w:rPr>
                              <w:t xml:space="preserve">Apoderado de la Entidad: </w:t>
                            </w:r>
                            <w:r>
                              <w:rPr>
                                <w:sz w:val="20"/>
                              </w:rPr>
                              <w:t xml:space="preserve">Dr. Edison Barrero </w:t>
                            </w:r>
                            <w:r>
                              <w:rPr>
                                <w:rFonts w:ascii="Trebuchet MS"/>
                              </w:rPr>
                              <w:t>Torres.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4.15pt;margin-top:14.25pt;width:266.8pt;height:21.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" filled="f">
                <v:textbox inset="0,0,0,0">
                  <w:txbxContent>
                    <w:p w:rsidR="00FC3AA7" w:rsidRDefault="00A979B1">
                      <w:pPr>
                        <w:spacing w:before="76"/>
                        <w:ind w:left="146"/>
                        <w:rPr>
                          <w:rFonts w:ascii="Trebuchet MS"/>
                        </w:rPr>
                      </w:pPr>
                      <w:r>
                        <w:rPr>
                          <w:b/>
                          <w:sz w:val="20"/>
                        </w:rPr>
                        <w:t xml:space="preserve">Apoderado de la Entidad: </w:t>
                      </w:r>
                      <w:r>
                        <w:rPr>
                          <w:sz w:val="20"/>
                        </w:rPr>
                        <w:t xml:space="preserve">Dr. Edison Barrero </w:t>
                      </w:r>
                      <w:r>
                        <w:rPr>
                          <w:rFonts w:ascii="Trebuchet MS"/>
                        </w:rPr>
                        <w:t>Torres.</w:t>
                      </w:r>
                    </w:p>
                  </w:txbxContent>
                </v:textbox>
                <w10:wrap type="topAndBottom" anchorx="page"/>
              </v:shape>
            </w:pict>
          </mc:Fallback>
        </mc:AlternateContent>
      </w:r>
    </w:p>
    <w:p w:rsidR="00FC3AA7" w:rsidRDefault="00FC3AA7">
      <w:pPr>
        <w:pStyle w:val="Textoindependiente"/>
        <w:spacing w:before="9"/>
        <w:rPr>
          <w:rFonts w:ascii="Times New Roman"/>
          <w:sz w:val="18"/>
        </w:rPr>
      </w:pPr>
    </w:p>
    <w:p w:rsidR="00FC3AA7" w:rsidRDefault="00A979B1">
      <w:pPr>
        <w:pStyle w:val="Textoindependiente"/>
        <w:ind w:left="155"/>
      </w:pPr>
      <w:r>
        <w:rPr>
          <w:noProof/>
          <w:lang w:bidi="ar-SA"/>
        </w:rPr>
        <w:drawing>
          <wp:anchor distT="0" distB="0" distL="0" distR="0" simplePos="0" relativeHeight="251657216" behindDoc="0" locked="0" layoutInCell="1" allowOverlap="1">
            <wp:simplePos x="0" y="0"/>
            <wp:positionH relativeFrom="page">
              <wp:posOffset>5783579</wp:posOffset>
            </wp:positionH>
            <wp:positionV relativeFrom="paragraph">
              <wp:posOffset>-100585</wp:posOffset>
            </wp:positionV>
            <wp:extent cx="1083945" cy="8077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083945" cy="807720"/>
                    </a:xfrm>
                    <a:prstGeom prst="rect">
                      <a:avLst/>
                    </a:prstGeom>
                  </pic:spPr>
                </pic:pic>
              </a:graphicData>
            </a:graphic>
          </wp:anchor>
        </w:drawing>
      </w:r>
      <w:r>
        <w:rPr>
          <w:color w:val="17365D"/>
        </w:rPr>
        <w:t>INSTITUTO PARA LA INVESTIGACIÓN EDUCATIVA Y EL DESARROLLO PEDAGÓGICO, IDEP</w:t>
      </w:r>
    </w:p>
    <w:p w:rsidR="00FC3AA7" w:rsidRDefault="00A979B1">
      <w:pPr>
        <w:pStyle w:val="Textoindependiente"/>
        <w:spacing w:before="19"/>
        <w:ind w:left="155"/>
      </w:pPr>
      <w:r>
        <w:rPr>
          <w:color w:val="17365D"/>
        </w:rPr>
        <w:t>Avenida Calle 26 No. 69D - 91. Oficinas 402ª, 402B, 805, 806. Torre 2 - Código Postal: 110931</w:t>
      </w:r>
    </w:p>
    <w:p w:rsidR="00FC3AA7" w:rsidRDefault="00A979B1">
      <w:pPr>
        <w:pStyle w:val="Textoindependiente"/>
        <w:spacing w:before="19" w:line="268" w:lineRule="auto"/>
        <w:ind w:left="155" w:right="12726"/>
      </w:pPr>
      <w:r>
        <w:rPr>
          <w:color w:val="17365D"/>
        </w:rPr>
        <w:t>PBX (57-1) 263 0603 - Línea de atención al ciudadano 195 Bogotá DC - Colombia</w:t>
      </w:r>
    </w:p>
    <w:p w:rsidR="00FC3AA7" w:rsidRDefault="00AC46AD">
      <w:pPr>
        <w:pStyle w:val="Textoindependiente"/>
        <w:spacing w:line="268" w:lineRule="auto"/>
        <w:ind w:left="155" w:right="14284"/>
        <w:rPr>
          <w:color w:val="17365D"/>
        </w:rPr>
      </w:pPr>
      <w:hyperlink r:id="rId7">
        <w:r w:rsidR="00A979B1">
          <w:rPr>
            <w:color w:val="17365D"/>
            <w:w w:val="95"/>
          </w:rPr>
          <w:t>idep@idep.edu.co</w:t>
        </w:r>
      </w:hyperlink>
      <w:r w:rsidR="00A979B1">
        <w:rPr>
          <w:color w:val="17365D"/>
          <w:w w:val="95"/>
        </w:rPr>
        <w:t xml:space="preserve"> </w:t>
      </w:r>
      <w:hyperlink r:id="rId8">
        <w:r w:rsidR="00A979B1">
          <w:rPr>
            <w:color w:val="17365D"/>
          </w:rPr>
          <w:t>www.idep.edu.co</w:t>
        </w:r>
      </w:hyperlink>
    </w:p>
    <w:p w:rsidR="004A4DC0" w:rsidRDefault="004A4DC0">
      <w:pPr>
        <w:pStyle w:val="Textoindependiente"/>
        <w:spacing w:line="268" w:lineRule="auto"/>
        <w:ind w:left="155" w:right="14284"/>
      </w:pPr>
    </w:p>
    <w:sectPr w:rsidR="004A4DC0" w:rsidSect="00B77821">
      <w:type w:val="continuous"/>
      <w:pgSz w:w="18720" w:h="12240" w:orient="landscape" w:code="41"/>
      <w:pgMar w:top="907" w:right="567" w:bottom="27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A7"/>
    <w:rsid w:val="000409CD"/>
    <w:rsid w:val="000B2A22"/>
    <w:rsid w:val="002128A5"/>
    <w:rsid w:val="002701A7"/>
    <w:rsid w:val="00391748"/>
    <w:rsid w:val="003E6D8C"/>
    <w:rsid w:val="004A4DC0"/>
    <w:rsid w:val="005C4892"/>
    <w:rsid w:val="006C00C2"/>
    <w:rsid w:val="00721754"/>
    <w:rsid w:val="008948E1"/>
    <w:rsid w:val="009E0EEF"/>
    <w:rsid w:val="00A979B1"/>
    <w:rsid w:val="00AC46AD"/>
    <w:rsid w:val="00AC54F0"/>
    <w:rsid w:val="00AF33A7"/>
    <w:rsid w:val="00B77821"/>
    <w:rsid w:val="00C06657"/>
    <w:rsid w:val="00CB293E"/>
    <w:rsid w:val="00D50415"/>
    <w:rsid w:val="00DF2B29"/>
    <w:rsid w:val="00F82F92"/>
    <w:rsid w:val="00FC3AA7"/>
    <w:rsid w:val="00FF12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34265-7DE7-4DCA-80BE-370D2F4F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C3AA7"/>
    <w:rPr>
      <w:rFonts w:ascii="Arial" w:eastAsia="Arial" w:hAnsi="Arial" w:cs="Arial"/>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C3AA7"/>
    <w:tblPr>
      <w:tblInd w:w="0" w:type="dxa"/>
      <w:tblCellMar>
        <w:top w:w="0" w:type="dxa"/>
        <w:left w:w="0" w:type="dxa"/>
        <w:bottom w:w="0" w:type="dxa"/>
        <w:right w:w="0" w:type="dxa"/>
      </w:tblCellMar>
    </w:tblPr>
  </w:style>
  <w:style w:type="paragraph" w:styleId="Textoindependiente">
    <w:name w:val="Body Text"/>
    <w:basedOn w:val="Normal"/>
    <w:uiPriority w:val="1"/>
    <w:qFormat/>
    <w:rsid w:val="00FC3AA7"/>
    <w:rPr>
      <w:sz w:val="14"/>
      <w:szCs w:val="14"/>
    </w:rPr>
  </w:style>
  <w:style w:type="paragraph" w:styleId="Prrafodelista">
    <w:name w:val="List Paragraph"/>
    <w:basedOn w:val="Normal"/>
    <w:uiPriority w:val="1"/>
    <w:qFormat/>
    <w:rsid w:val="00FC3AA7"/>
  </w:style>
  <w:style w:type="paragraph" w:customStyle="1" w:styleId="TableParagraph">
    <w:name w:val="Table Paragraph"/>
    <w:basedOn w:val="Normal"/>
    <w:uiPriority w:val="1"/>
    <w:qFormat/>
    <w:rsid w:val="00FC3AA7"/>
    <w:pPr>
      <w:spacing w:before="103"/>
      <w:ind w:left="108"/>
    </w:pPr>
  </w:style>
  <w:style w:type="paragraph" w:styleId="Textodeglobo">
    <w:name w:val="Balloon Text"/>
    <w:basedOn w:val="Normal"/>
    <w:link w:val="TextodegloboCar"/>
    <w:uiPriority w:val="99"/>
    <w:semiHidden/>
    <w:unhideWhenUsed/>
    <w:rsid w:val="000B2A22"/>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A22"/>
    <w:rPr>
      <w:rFonts w:ascii="Tahoma" w:eastAsia="Arial" w:hAnsi="Tahoma" w:cs="Tahoma"/>
      <w:sz w:val="16"/>
      <w:szCs w:val="16"/>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dep.edu.co/" TargetMode="External"/><Relationship Id="rId3" Type="http://schemas.openxmlformats.org/officeDocument/2006/relationships/settings" Target="settings.xml"/><Relationship Id="rId7" Type="http://schemas.openxmlformats.org/officeDocument/2006/relationships/hyperlink" Target="mailto:idep@idep.edu.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DCA0C-5F5C-4A8B-8A81-CF19418F4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628</Words>
  <Characters>3456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sortega</dc:creator>
  <cp:keywords>IDEP/Formato tamaño carta</cp:keywords>
  <cp:lastModifiedBy>Erika Viviana Boyacá Olaya</cp:lastModifiedBy>
  <cp:revision>3</cp:revision>
  <cp:lastPrinted>2019-03-06T14:14:00Z</cp:lastPrinted>
  <dcterms:created xsi:type="dcterms:W3CDTF">2019-04-29T20:59:00Z</dcterms:created>
  <dcterms:modified xsi:type="dcterms:W3CDTF">2019-04-30T16:03:00Z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Office Word 2007</vt:lpwstr>
  </property>
  <property fmtid="{D5CDD505-2E9C-101B-9397-08002B2CF9AE}" pid="4" name="LastSaved">
    <vt:filetime>2018-04-26T00:00:00Z</vt:filetime>
  </property>
</Properties>
</file>