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9FFA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  <w:r w:rsidRPr="008D7963">
        <w:rPr>
          <w:rFonts w:cs="Arial"/>
          <w:b/>
          <w:szCs w:val="24"/>
        </w:rPr>
        <w:t>INSTITUTO PARA LA INVESTIGACIÓN EDUCATIVA Y EL DESARROLLO PEDAGOGICO – IDEP</w:t>
      </w:r>
    </w:p>
    <w:p w14:paraId="0220FACA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4641B701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62166DDE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1181B997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38B98476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401B7BF5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796F3EB7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3BC5F515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3457F12F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  <w:r w:rsidRPr="008D7963">
        <w:rPr>
          <w:rFonts w:cs="Arial"/>
          <w:b/>
          <w:szCs w:val="24"/>
        </w:rPr>
        <w:t xml:space="preserve">INFORME </w:t>
      </w:r>
      <w:r w:rsidR="00A848B5" w:rsidRPr="008D7963">
        <w:rPr>
          <w:rFonts w:cs="Arial"/>
          <w:b/>
          <w:szCs w:val="24"/>
        </w:rPr>
        <w:t xml:space="preserve">DE SEGUIMIENTO </w:t>
      </w:r>
      <w:r w:rsidRPr="008D7963">
        <w:rPr>
          <w:rFonts w:cs="Arial"/>
          <w:b/>
          <w:szCs w:val="24"/>
        </w:rPr>
        <w:t xml:space="preserve">AUSTERIDAD </w:t>
      </w:r>
      <w:r w:rsidR="0014004D" w:rsidRPr="008D7963">
        <w:rPr>
          <w:rFonts w:cs="Arial"/>
          <w:b/>
          <w:szCs w:val="24"/>
        </w:rPr>
        <w:t>D</w:t>
      </w:r>
      <w:r w:rsidRPr="008D7963">
        <w:rPr>
          <w:rFonts w:cs="Arial"/>
          <w:b/>
          <w:szCs w:val="24"/>
        </w:rPr>
        <w:t>EL GASTO</w:t>
      </w:r>
    </w:p>
    <w:p w14:paraId="2CCC67A6" w14:textId="2C36BF3D" w:rsidR="00A61839" w:rsidRPr="008D7963" w:rsidRDefault="00C35CFD" w:rsidP="00A61839">
      <w:pPr>
        <w:jc w:val="center"/>
        <w:rPr>
          <w:rFonts w:cs="Arial"/>
          <w:b/>
          <w:szCs w:val="24"/>
        </w:rPr>
      </w:pPr>
      <w:r w:rsidRPr="008D7963">
        <w:rPr>
          <w:rFonts w:cs="Arial"/>
          <w:b/>
          <w:szCs w:val="24"/>
        </w:rPr>
        <w:t xml:space="preserve">TERCER </w:t>
      </w:r>
      <w:r w:rsidR="00A848B5" w:rsidRPr="008D7963">
        <w:rPr>
          <w:rFonts w:cs="Arial"/>
          <w:b/>
          <w:szCs w:val="24"/>
        </w:rPr>
        <w:t>TRIMESTRE</w:t>
      </w:r>
      <w:r w:rsidR="00253B09" w:rsidRPr="008D7963">
        <w:rPr>
          <w:rFonts w:cs="Arial"/>
          <w:b/>
          <w:szCs w:val="24"/>
        </w:rPr>
        <w:t xml:space="preserve"> 2020</w:t>
      </w:r>
    </w:p>
    <w:p w14:paraId="38B12166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7E5B1493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07315965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0B3F3343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129E5454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5F15DCD3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64C58156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07FFB5A9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77E8B9B5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</w:p>
    <w:p w14:paraId="36294021" w14:textId="77777777" w:rsidR="00A61839" w:rsidRPr="008D7963" w:rsidRDefault="00A61839" w:rsidP="00A61839">
      <w:pPr>
        <w:jc w:val="center"/>
        <w:rPr>
          <w:rFonts w:cs="Arial"/>
          <w:b/>
          <w:szCs w:val="24"/>
        </w:rPr>
      </w:pPr>
      <w:r w:rsidRPr="008D7963">
        <w:rPr>
          <w:rFonts w:cs="Arial"/>
          <w:b/>
          <w:szCs w:val="24"/>
        </w:rPr>
        <w:t>OFICINA DE CONTROL INTERNO</w:t>
      </w:r>
    </w:p>
    <w:p w14:paraId="678DF0B4" w14:textId="48644001" w:rsidR="00A61839" w:rsidRPr="008D7963" w:rsidRDefault="00A61839" w:rsidP="00A61839">
      <w:pPr>
        <w:jc w:val="center"/>
        <w:rPr>
          <w:rFonts w:cs="Arial"/>
          <w:szCs w:val="24"/>
        </w:rPr>
      </w:pPr>
      <w:r w:rsidRPr="008D7963">
        <w:rPr>
          <w:rFonts w:cs="Arial"/>
          <w:b/>
          <w:szCs w:val="24"/>
        </w:rPr>
        <w:t>Bogotá, D.C</w:t>
      </w:r>
      <w:r w:rsidR="001C36D2" w:rsidRPr="008D7963">
        <w:rPr>
          <w:rFonts w:cs="Arial"/>
          <w:b/>
          <w:szCs w:val="24"/>
        </w:rPr>
        <w:t xml:space="preserve">. </w:t>
      </w:r>
      <w:r w:rsidR="000E0CE3" w:rsidRPr="008D7963">
        <w:rPr>
          <w:rFonts w:cs="Arial"/>
          <w:b/>
          <w:szCs w:val="24"/>
        </w:rPr>
        <w:t>octubre</w:t>
      </w:r>
      <w:r w:rsidR="001C36D2" w:rsidRPr="008D7963">
        <w:rPr>
          <w:rFonts w:cs="Arial"/>
          <w:b/>
          <w:szCs w:val="24"/>
        </w:rPr>
        <w:t xml:space="preserve"> </w:t>
      </w:r>
      <w:r w:rsidRPr="008D7963">
        <w:rPr>
          <w:rFonts w:cs="Arial"/>
          <w:b/>
          <w:szCs w:val="24"/>
        </w:rPr>
        <w:t>de 2020.</w:t>
      </w:r>
    </w:p>
    <w:p w14:paraId="4B580481" w14:textId="77777777" w:rsidR="00D90EC8" w:rsidRPr="008D7963" w:rsidRDefault="00D90EC8" w:rsidP="00A61839">
      <w:pPr>
        <w:jc w:val="center"/>
        <w:rPr>
          <w:rFonts w:cs="Arial"/>
          <w:b/>
          <w:szCs w:val="24"/>
        </w:rPr>
      </w:pPr>
    </w:p>
    <w:p w14:paraId="5B03AD57" w14:textId="2CF052BF" w:rsidR="00A61839" w:rsidRPr="008D7963" w:rsidRDefault="00A61839" w:rsidP="00A61839">
      <w:pPr>
        <w:jc w:val="center"/>
        <w:rPr>
          <w:rFonts w:cs="Arial"/>
          <w:b/>
          <w:sz w:val="22"/>
        </w:rPr>
      </w:pPr>
      <w:r w:rsidRPr="008D7963">
        <w:rPr>
          <w:rFonts w:cs="Arial"/>
          <w:b/>
          <w:sz w:val="22"/>
        </w:rPr>
        <w:lastRenderedPageBreak/>
        <w:t xml:space="preserve">INFORME DE AUSTERIDAD EN EL GASTO PÚBLICO </w:t>
      </w:r>
    </w:p>
    <w:p w14:paraId="371DB733" w14:textId="5D7D47B0" w:rsidR="00A61839" w:rsidRPr="008D7963" w:rsidRDefault="00BD7EE5" w:rsidP="00A61839">
      <w:pPr>
        <w:jc w:val="center"/>
        <w:rPr>
          <w:rFonts w:cs="Arial"/>
          <w:b/>
          <w:sz w:val="22"/>
        </w:rPr>
      </w:pPr>
      <w:r w:rsidRPr="008D7963">
        <w:rPr>
          <w:rFonts w:cs="Arial"/>
          <w:b/>
          <w:sz w:val="22"/>
          <w:lang w:val="es-419"/>
        </w:rPr>
        <w:t xml:space="preserve">TERCER </w:t>
      </w:r>
      <w:r w:rsidR="003C650A" w:rsidRPr="008D7963">
        <w:rPr>
          <w:rFonts w:cs="Arial"/>
          <w:b/>
          <w:sz w:val="22"/>
        </w:rPr>
        <w:t xml:space="preserve">TRIMESTRE </w:t>
      </w:r>
      <w:r w:rsidR="00A61839" w:rsidRPr="008D7963">
        <w:rPr>
          <w:rFonts w:cs="Arial"/>
          <w:b/>
          <w:sz w:val="22"/>
        </w:rPr>
        <w:t>20</w:t>
      </w:r>
      <w:r w:rsidR="00D90EC8" w:rsidRPr="008D7963">
        <w:rPr>
          <w:rFonts w:cs="Arial"/>
          <w:b/>
          <w:sz w:val="22"/>
        </w:rPr>
        <w:t>20</w:t>
      </w:r>
      <w:r w:rsidR="00A61839" w:rsidRPr="008D7963">
        <w:rPr>
          <w:rFonts w:cs="Arial"/>
          <w:b/>
          <w:sz w:val="22"/>
        </w:rPr>
        <w:t>.</w:t>
      </w:r>
    </w:p>
    <w:p w14:paraId="3C1AB809" w14:textId="77777777" w:rsidR="00A61839" w:rsidRPr="008D7963" w:rsidRDefault="00A61839" w:rsidP="00AE2FBE">
      <w:pPr>
        <w:pStyle w:val="Ttulo1"/>
        <w:numPr>
          <w:ilvl w:val="0"/>
          <w:numId w:val="9"/>
        </w:numPr>
        <w:rPr>
          <w:rFonts w:ascii="Arial" w:hAnsi="Arial" w:cs="Arial"/>
          <w:b/>
          <w:color w:val="auto"/>
          <w:sz w:val="22"/>
          <w:szCs w:val="22"/>
        </w:rPr>
      </w:pPr>
      <w:r w:rsidRPr="008D7963">
        <w:rPr>
          <w:rFonts w:ascii="Arial" w:hAnsi="Arial" w:cs="Arial"/>
          <w:b/>
          <w:color w:val="auto"/>
          <w:sz w:val="22"/>
          <w:szCs w:val="22"/>
        </w:rPr>
        <w:t>OBJETIVO</w:t>
      </w:r>
      <w:r w:rsidR="001D16E3" w:rsidRPr="008D7963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8130BA2" w14:textId="77777777" w:rsidR="0014004D" w:rsidRPr="008D7963" w:rsidRDefault="0014004D" w:rsidP="00A61839">
      <w:pPr>
        <w:pStyle w:val="Textoindependiente"/>
        <w:rPr>
          <w:rFonts w:eastAsiaTheme="minorHAnsi" w:cs="Arial"/>
          <w:sz w:val="22"/>
          <w:lang w:eastAsia="en-US"/>
        </w:rPr>
      </w:pPr>
    </w:p>
    <w:p w14:paraId="3DB221F0" w14:textId="63C1012E" w:rsidR="00A61839" w:rsidRPr="008D7963" w:rsidRDefault="0014004D" w:rsidP="001D16E3">
      <w:pPr>
        <w:rPr>
          <w:rFonts w:eastAsiaTheme="minorHAnsi" w:cs="Arial"/>
          <w:sz w:val="22"/>
          <w:lang w:eastAsia="en-US"/>
        </w:rPr>
      </w:pPr>
      <w:r w:rsidRPr="008D7963">
        <w:rPr>
          <w:rFonts w:eastAsiaTheme="minorHAnsi" w:cs="Arial"/>
          <w:sz w:val="22"/>
          <w:lang w:eastAsia="en-US"/>
        </w:rPr>
        <w:t>Verificar el grado de cumplimiento frente a las medidas adoptadas por el Instituto para la Investigación Educativa y el Desarrollo Pedagógico – IDEP tendientes a la austeridad y racionaliz</w:t>
      </w:r>
      <w:r w:rsidRPr="008D7963">
        <w:rPr>
          <w:rFonts w:cs="Arial"/>
          <w:sz w:val="22"/>
        </w:rPr>
        <w:t xml:space="preserve">ación y eficiencia del gasto público, de conformidad con </w:t>
      </w:r>
      <w:r w:rsidR="00A61839" w:rsidRPr="008D7963">
        <w:rPr>
          <w:rFonts w:cs="Arial"/>
          <w:sz w:val="22"/>
        </w:rPr>
        <w:t>las normas distritales y nacionales aplicabl</w:t>
      </w:r>
      <w:r w:rsidR="001D16E3" w:rsidRPr="008D7963">
        <w:rPr>
          <w:rFonts w:cs="Arial"/>
          <w:sz w:val="22"/>
        </w:rPr>
        <w:t>es, según lo dispuesto en el artículo 2.8.4.8.2 del Decreto 1068 de 2015</w:t>
      </w:r>
      <w:r w:rsidR="00412B7A" w:rsidRPr="008D7963">
        <w:rPr>
          <w:rFonts w:cs="Arial"/>
          <w:sz w:val="22"/>
        </w:rPr>
        <w:t xml:space="preserve"> y el Decreto Distrital </w:t>
      </w:r>
      <w:r w:rsidR="00E65065" w:rsidRPr="008D7963">
        <w:rPr>
          <w:rFonts w:cs="Arial"/>
          <w:sz w:val="22"/>
        </w:rPr>
        <w:t>492 de 2019.</w:t>
      </w:r>
    </w:p>
    <w:p w14:paraId="4E648491" w14:textId="77777777" w:rsidR="00A61839" w:rsidRPr="008D7963" w:rsidRDefault="0014004D" w:rsidP="00AE2FBE">
      <w:pPr>
        <w:pStyle w:val="Ttulo1"/>
        <w:numPr>
          <w:ilvl w:val="0"/>
          <w:numId w:val="9"/>
        </w:numPr>
        <w:rPr>
          <w:rFonts w:ascii="Arial" w:hAnsi="Arial" w:cs="Arial"/>
          <w:b/>
          <w:color w:val="auto"/>
          <w:sz w:val="22"/>
          <w:szCs w:val="22"/>
        </w:rPr>
      </w:pPr>
      <w:r w:rsidRPr="008D7963">
        <w:rPr>
          <w:rFonts w:ascii="Arial" w:hAnsi="Arial" w:cs="Arial"/>
          <w:b/>
          <w:color w:val="auto"/>
          <w:sz w:val="22"/>
          <w:szCs w:val="22"/>
        </w:rPr>
        <w:t>ALCANCE</w:t>
      </w:r>
      <w:r w:rsidR="001D16E3" w:rsidRPr="008D7963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493128EF" w14:textId="77777777" w:rsidR="00404207" w:rsidRPr="008D7963" w:rsidRDefault="00404207" w:rsidP="001D16E3">
      <w:pPr>
        <w:rPr>
          <w:rFonts w:cs="Arial"/>
          <w:sz w:val="22"/>
        </w:rPr>
      </w:pPr>
    </w:p>
    <w:p w14:paraId="56FC8224" w14:textId="00C637B2" w:rsidR="001D16E3" w:rsidRPr="008D7963" w:rsidRDefault="00AE2FBE" w:rsidP="003C650A">
      <w:pPr>
        <w:rPr>
          <w:rFonts w:cs="Arial"/>
          <w:sz w:val="22"/>
        </w:rPr>
      </w:pPr>
      <w:r w:rsidRPr="008D7963">
        <w:rPr>
          <w:rFonts w:cs="Arial"/>
          <w:sz w:val="22"/>
        </w:rPr>
        <w:t xml:space="preserve">El seguimiento se enfoca en </w:t>
      </w:r>
      <w:r w:rsidR="004C687F" w:rsidRPr="008D7963">
        <w:rPr>
          <w:rFonts w:cs="Arial"/>
          <w:sz w:val="22"/>
        </w:rPr>
        <w:t>las actividades</w:t>
      </w:r>
      <w:r w:rsidRPr="008D7963">
        <w:rPr>
          <w:rFonts w:cs="Arial"/>
          <w:sz w:val="22"/>
        </w:rPr>
        <w:t xml:space="preserve"> desarrolladas y medidas adoptadas por la Entidad en materia de austeridad en el gasto por parte de la Entidad, en el periodo comprendido del 01 de </w:t>
      </w:r>
      <w:r w:rsidR="00C35CFD" w:rsidRPr="008D7963">
        <w:rPr>
          <w:rFonts w:cs="Arial"/>
          <w:sz w:val="22"/>
        </w:rPr>
        <w:t>julio</w:t>
      </w:r>
      <w:r w:rsidR="001C36D2" w:rsidRPr="008D7963">
        <w:rPr>
          <w:rFonts w:cs="Arial"/>
          <w:sz w:val="22"/>
        </w:rPr>
        <w:t xml:space="preserve"> </w:t>
      </w:r>
      <w:r w:rsidRPr="008D7963">
        <w:rPr>
          <w:rFonts w:cs="Arial"/>
          <w:sz w:val="22"/>
        </w:rPr>
        <w:t>al 3</w:t>
      </w:r>
      <w:r w:rsidR="001C36D2" w:rsidRPr="008D7963">
        <w:rPr>
          <w:rFonts w:cs="Arial"/>
          <w:sz w:val="22"/>
        </w:rPr>
        <w:t>0</w:t>
      </w:r>
      <w:r w:rsidRPr="008D7963">
        <w:rPr>
          <w:rFonts w:cs="Arial"/>
          <w:sz w:val="22"/>
        </w:rPr>
        <w:t xml:space="preserve"> de </w:t>
      </w:r>
      <w:r w:rsidR="00C35CFD" w:rsidRPr="008D7963">
        <w:rPr>
          <w:rFonts w:cs="Arial"/>
          <w:sz w:val="22"/>
        </w:rPr>
        <w:t xml:space="preserve">septiembre </w:t>
      </w:r>
      <w:r w:rsidRPr="008D7963">
        <w:rPr>
          <w:rFonts w:cs="Arial"/>
          <w:sz w:val="22"/>
        </w:rPr>
        <w:t xml:space="preserve">de 2020 comparativo con el mismo periodo del año anterior. </w:t>
      </w:r>
    </w:p>
    <w:p w14:paraId="301988F4" w14:textId="77777777" w:rsidR="00AE2FBE" w:rsidRPr="008D7963" w:rsidRDefault="00AE2FBE" w:rsidP="00A61839">
      <w:pPr>
        <w:pStyle w:val="Default"/>
        <w:rPr>
          <w:b/>
          <w:bCs/>
          <w:color w:val="auto"/>
          <w:sz w:val="22"/>
          <w:szCs w:val="22"/>
        </w:rPr>
      </w:pPr>
    </w:p>
    <w:p w14:paraId="5EA7D0D4" w14:textId="51271919" w:rsidR="00A61839" w:rsidRPr="008D7963" w:rsidRDefault="00A61839" w:rsidP="00404207">
      <w:pPr>
        <w:pStyle w:val="Default"/>
        <w:numPr>
          <w:ilvl w:val="0"/>
          <w:numId w:val="9"/>
        </w:numPr>
        <w:ind w:hanging="294"/>
        <w:rPr>
          <w:b/>
          <w:bCs/>
          <w:color w:val="auto"/>
          <w:sz w:val="22"/>
          <w:szCs w:val="22"/>
        </w:rPr>
      </w:pPr>
      <w:r w:rsidRPr="008D7963">
        <w:rPr>
          <w:b/>
          <w:bCs/>
          <w:color w:val="auto"/>
          <w:sz w:val="22"/>
          <w:szCs w:val="22"/>
        </w:rPr>
        <w:t>CRITERIOS DE AUDITORIA:</w:t>
      </w:r>
      <w:r w:rsidR="00DC0E72" w:rsidRPr="008D7963">
        <w:rPr>
          <w:b/>
          <w:bCs/>
          <w:color w:val="auto"/>
          <w:sz w:val="22"/>
          <w:szCs w:val="22"/>
        </w:rPr>
        <w:t xml:space="preserve"> </w:t>
      </w:r>
    </w:p>
    <w:p w14:paraId="67034D33" w14:textId="16AB68DD" w:rsidR="00A61839" w:rsidRPr="008D7963" w:rsidRDefault="00A61839" w:rsidP="00A61839">
      <w:pPr>
        <w:pStyle w:val="Default"/>
        <w:rPr>
          <w:b/>
          <w:bCs/>
          <w:color w:val="auto"/>
          <w:sz w:val="22"/>
          <w:szCs w:val="22"/>
        </w:rPr>
      </w:pPr>
    </w:p>
    <w:p w14:paraId="693123A3" w14:textId="01857432" w:rsidR="003E7A73" w:rsidRPr="008D7963" w:rsidRDefault="003E7A73" w:rsidP="003E7A73">
      <w:pPr>
        <w:pStyle w:val="Prrafodelista"/>
        <w:numPr>
          <w:ilvl w:val="0"/>
          <w:numId w:val="1"/>
        </w:numPr>
        <w:ind w:left="567" w:hanging="567"/>
        <w:rPr>
          <w:rFonts w:cs="Arial"/>
          <w:sz w:val="22"/>
        </w:rPr>
      </w:pPr>
      <w:r w:rsidRPr="008D7963">
        <w:rPr>
          <w:rFonts w:cs="Arial"/>
          <w:sz w:val="22"/>
        </w:rPr>
        <w:t xml:space="preserve">Ley 1474 de julio de 2011, “Por la cual se dictan normas orientadas a fortalecer los mecanismos de prevención, investigación y sanción de actos de corrupción y la efectividad del control de la gestión pública.” </w:t>
      </w:r>
    </w:p>
    <w:p w14:paraId="3F8991B0" w14:textId="0765D88C" w:rsidR="00724322" w:rsidRPr="008D7963" w:rsidRDefault="00724322" w:rsidP="00404207">
      <w:pPr>
        <w:pStyle w:val="Prrafodelista"/>
        <w:numPr>
          <w:ilvl w:val="0"/>
          <w:numId w:val="14"/>
        </w:numPr>
        <w:shd w:val="clear" w:color="auto" w:fill="FFFFFF"/>
        <w:spacing w:before="100" w:after="100" w:line="240" w:lineRule="auto"/>
        <w:ind w:left="567" w:hanging="567"/>
        <w:rPr>
          <w:rFonts w:cs="Arial"/>
          <w:sz w:val="22"/>
        </w:rPr>
      </w:pPr>
      <w:r w:rsidRPr="008D7963">
        <w:rPr>
          <w:rFonts w:cs="Arial"/>
          <w:sz w:val="22"/>
        </w:rPr>
        <w:t xml:space="preserve">Decreto Único Reglamentario 1068 de 2015 “Por el cual se expide el Decreto </w:t>
      </w:r>
      <w:r w:rsidR="00A441EC" w:rsidRPr="008D7963">
        <w:rPr>
          <w:rFonts w:cs="Arial"/>
          <w:sz w:val="22"/>
        </w:rPr>
        <w:t>Único</w:t>
      </w:r>
      <w:r w:rsidRPr="008D7963">
        <w:rPr>
          <w:rFonts w:cs="Arial"/>
          <w:sz w:val="22"/>
        </w:rPr>
        <w:t xml:space="preserve"> Reglamentario del Sector Hacienda”</w:t>
      </w:r>
    </w:p>
    <w:p w14:paraId="3AAF27C9" w14:textId="77777777" w:rsidR="003E7A73" w:rsidRPr="008D7963" w:rsidRDefault="00472BE4" w:rsidP="003E7A73">
      <w:pPr>
        <w:pStyle w:val="Prrafodelista"/>
        <w:numPr>
          <w:ilvl w:val="0"/>
          <w:numId w:val="14"/>
        </w:numPr>
        <w:shd w:val="clear" w:color="auto" w:fill="FFFFFF"/>
        <w:spacing w:before="100" w:after="100" w:line="240" w:lineRule="auto"/>
        <w:ind w:left="567" w:hanging="567"/>
        <w:rPr>
          <w:rFonts w:cs="Arial"/>
          <w:sz w:val="22"/>
        </w:rPr>
      </w:pPr>
      <w:r w:rsidRPr="008D7963">
        <w:rPr>
          <w:rFonts w:cs="Arial"/>
          <w:sz w:val="22"/>
        </w:rPr>
        <w:t xml:space="preserve">Decreto Distrital 492 de 2019 </w:t>
      </w:r>
      <w:r w:rsidR="00A441EC" w:rsidRPr="008D7963">
        <w:rPr>
          <w:rFonts w:cs="Arial"/>
          <w:sz w:val="22"/>
        </w:rPr>
        <w:t>“</w:t>
      </w:r>
      <w:r w:rsidRPr="008D7963">
        <w:rPr>
          <w:rFonts w:cs="Arial"/>
          <w:sz w:val="22"/>
        </w:rPr>
        <w:t>Por el cual se expiden lineamientos generales sobre austeridad y transparencia del gasto público en las entidades y organismos del orden distrital y se dictan otras disposiciones</w:t>
      </w:r>
      <w:r w:rsidR="00803E1B" w:rsidRPr="008D7963">
        <w:rPr>
          <w:rFonts w:cs="Arial"/>
          <w:sz w:val="22"/>
        </w:rPr>
        <w:t>.</w:t>
      </w:r>
      <w:r w:rsidR="00A441EC" w:rsidRPr="008D7963">
        <w:rPr>
          <w:rFonts w:cs="Arial"/>
          <w:sz w:val="22"/>
        </w:rPr>
        <w:t>”</w:t>
      </w:r>
    </w:p>
    <w:p w14:paraId="1CE5231D" w14:textId="215E5352" w:rsidR="003E7A73" w:rsidRPr="008D7963" w:rsidRDefault="003E7A73" w:rsidP="003E7A73">
      <w:pPr>
        <w:pStyle w:val="Prrafodelista"/>
        <w:numPr>
          <w:ilvl w:val="0"/>
          <w:numId w:val="14"/>
        </w:numPr>
        <w:shd w:val="clear" w:color="auto" w:fill="FFFFFF"/>
        <w:spacing w:before="100" w:after="100" w:line="240" w:lineRule="auto"/>
        <w:ind w:left="567" w:hanging="567"/>
        <w:rPr>
          <w:rFonts w:cs="Arial"/>
          <w:sz w:val="22"/>
        </w:rPr>
      </w:pPr>
      <w:r w:rsidRPr="008D7963">
        <w:rPr>
          <w:rFonts w:cs="Arial"/>
          <w:sz w:val="22"/>
        </w:rPr>
        <w:t>Decreto 061 del 14 de febrero de 2007, emanado de la Alcaldía Mayor, reglamentó el funcionamiento de las cajas menores y los avances en efectivo.</w:t>
      </w:r>
    </w:p>
    <w:p w14:paraId="6CCF48E6" w14:textId="4D47FC61" w:rsidR="00472BE4" w:rsidRPr="008D7963" w:rsidRDefault="00803E1B" w:rsidP="00404207">
      <w:pPr>
        <w:pStyle w:val="Prrafodelista"/>
        <w:numPr>
          <w:ilvl w:val="0"/>
          <w:numId w:val="14"/>
        </w:numPr>
        <w:ind w:left="567" w:right="49" w:hanging="567"/>
        <w:rPr>
          <w:rFonts w:cs="Arial"/>
          <w:sz w:val="22"/>
        </w:rPr>
      </w:pPr>
      <w:r w:rsidRPr="008D7963">
        <w:rPr>
          <w:rFonts w:cs="Arial"/>
          <w:sz w:val="22"/>
        </w:rPr>
        <w:t xml:space="preserve">Acuerdo 719 </w:t>
      </w:r>
      <w:r w:rsidR="00AD7FFA" w:rsidRPr="008D7963">
        <w:rPr>
          <w:rFonts w:cs="Arial"/>
          <w:sz w:val="22"/>
        </w:rPr>
        <w:t xml:space="preserve">del </w:t>
      </w:r>
      <w:r w:rsidR="00404207" w:rsidRPr="008D7963">
        <w:rPr>
          <w:rFonts w:cs="Arial"/>
          <w:sz w:val="22"/>
        </w:rPr>
        <w:t>26 septiembre</w:t>
      </w:r>
      <w:r w:rsidRPr="008D7963">
        <w:rPr>
          <w:rFonts w:cs="Arial"/>
          <w:sz w:val="22"/>
        </w:rPr>
        <w:t xml:space="preserve"> de </w:t>
      </w:r>
      <w:r w:rsidR="00472BE4" w:rsidRPr="008D7963">
        <w:rPr>
          <w:rFonts w:cs="Arial"/>
          <w:sz w:val="22"/>
        </w:rPr>
        <w:t>2018 “Por el cual se establecen lineamientos generales para promover medidas de austeridad y transparencia del gasto público en las entidades del orden distrital, y se dictan otras disposiciones”.</w:t>
      </w:r>
    </w:p>
    <w:p w14:paraId="5DA9EA95" w14:textId="77777777" w:rsidR="006673B9" w:rsidRPr="008D7963" w:rsidRDefault="006673B9" w:rsidP="006673B9">
      <w:pPr>
        <w:pStyle w:val="Prrafodelista"/>
        <w:ind w:left="567" w:right="49"/>
        <w:rPr>
          <w:rFonts w:cs="Arial"/>
          <w:sz w:val="22"/>
        </w:rPr>
      </w:pPr>
    </w:p>
    <w:p w14:paraId="6781558E" w14:textId="6C96304B" w:rsidR="00404207" w:rsidRPr="008D7963" w:rsidRDefault="00404207" w:rsidP="00404207">
      <w:pPr>
        <w:pStyle w:val="Prrafodelista"/>
        <w:rPr>
          <w:rFonts w:cs="Arial"/>
          <w:b/>
          <w:sz w:val="22"/>
        </w:rPr>
      </w:pPr>
    </w:p>
    <w:p w14:paraId="58C7AB20" w14:textId="520E6CBB" w:rsidR="003E7A73" w:rsidRPr="008D7963" w:rsidRDefault="003E7A73" w:rsidP="00404207">
      <w:pPr>
        <w:pStyle w:val="Prrafodelista"/>
        <w:rPr>
          <w:rFonts w:cs="Arial"/>
          <w:b/>
          <w:szCs w:val="24"/>
        </w:rPr>
      </w:pPr>
    </w:p>
    <w:p w14:paraId="0E6E2DE9" w14:textId="588A1F00" w:rsidR="006673B9" w:rsidRPr="008D7963" w:rsidRDefault="006673B9" w:rsidP="00404207">
      <w:pPr>
        <w:pStyle w:val="Prrafodelista"/>
        <w:rPr>
          <w:rFonts w:cs="Arial"/>
          <w:b/>
          <w:szCs w:val="24"/>
        </w:rPr>
      </w:pPr>
    </w:p>
    <w:p w14:paraId="45D42442" w14:textId="767FC8F9" w:rsidR="00AB1558" w:rsidRPr="008D7963" w:rsidRDefault="00AB1558" w:rsidP="00404207">
      <w:pPr>
        <w:pStyle w:val="Prrafodelista"/>
        <w:rPr>
          <w:rFonts w:cs="Arial"/>
          <w:b/>
          <w:szCs w:val="24"/>
        </w:rPr>
      </w:pPr>
    </w:p>
    <w:p w14:paraId="1F4DDFDC" w14:textId="77777777" w:rsidR="00AB1558" w:rsidRPr="008D7963" w:rsidRDefault="00AB1558" w:rsidP="00404207">
      <w:pPr>
        <w:pStyle w:val="Prrafodelista"/>
        <w:rPr>
          <w:rFonts w:cs="Arial"/>
          <w:b/>
          <w:szCs w:val="24"/>
        </w:rPr>
      </w:pPr>
    </w:p>
    <w:p w14:paraId="3E2D2BF3" w14:textId="77777777" w:rsidR="003F7BCF" w:rsidRPr="008D7963" w:rsidRDefault="003F7BCF" w:rsidP="00404207">
      <w:pPr>
        <w:pStyle w:val="Prrafodelista"/>
        <w:rPr>
          <w:rFonts w:cs="Arial"/>
          <w:b/>
          <w:szCs w:val="24"/>
        </w:rPr>
      </w:pPr>
    </w:p>
    <w:p w14:paraId="03E1BA28" w14:textId="77777777" w:rsidR="004C687F" w:rsidRPr="008D7963" w:rsidRDefault="004C687F" w:rsidP="00404207">
      <w:pPr>
        <w:pStyle w:val="Prrafodelista"/>
        <w:numPr>
          <w:ilvl w:val="0"/>
          <w:numId w:val="9"/>
        </w:numPr>
        <w:spacing w:after="160" w:line="259" w:lineRule="auto"/>
        <w:ind w:left="426" w:right="-376" w:firstLine="0"/>
        <w:jc w:val="left"/>
        <w:rPr>
          <w:rFonts w:eastAsiaTheme="minorHAnsi" w:cs="Arial"/>
          <w:b/>
          <w:bCs/>
          <w:sz w:val="22"/>
          <w:lang w:eastAsia="en-US"/>
        </w:rPr>
      </w:pPr>
      <w:r w:rsidRPr="008D7963">
        <w:rPr>
          <w:rFonts w:cs="Arial"/>
          <w:b/>
          <w:sz w:val="22"/>
        </w:rPr>
        <w:lastRenderedPageBreak/>
        <w:t>RESULTADOS DEL ANÁLISIS DE INFORMACIÓN, DATOS Y EVIDENCIAS:</w:t>
      </w:r>
    </w:p>
    <w:p w14:paraId="5AB86DDE" w14:textId="38ADA4C2" w:rsidR="00253B09" w:rsidRPr="008D7963" w:rsidRDefault="00A61839" w:rsidP="00C50844">
      <w:pPr>
        <w:rPr>
          <w:rFonts w:cs="Arial"/>
          <w:b/>
          <w:bCs/>
          <w:sz w:val="22"/>
        </w:rPr>
      </w:pPr>
      <w:r w:rsidRPr="008D7963">
        <w:rPr>
          <w:rFonts w:cs="Arial"/>
          <w:sz w:val="22"/>
          <w:szCs w:val="20"/>
        </w:rPr>
        <w:t>La fuente de información del seguimiento proviene de la ejecución presupuestal, órdenes de pago por rubro y autorizaciones de pago que se generan desde el aplicativo GOOBI y los datos reportados por parte de</w:t>
      </w:r>
      <w:r w:rsidR="00A441EC" w:rsidRPr="008D7963">
        <w:rPr>
          <w:rFonts w:cs="Arial"/>
          <w:sz w:val="22"/>
          <w:szCs w:val="20"/>
        </w:rPr>
        <w:t xml:space="preserve"> </w:t>
      </w:r>
      <w:r w:rsidRPr="008D7963">
        <w:rPr>
          <w:rFonts w:cs="Arial"/>
          <w:sz w:val="22"/>
          <w:szCs w:val="20"/>
        </w:rPr>
        <w:t>l</w:t>
      </w:r>
      <w:r w:rsidR="00A441EC" w:rsidRPr="008D7963">
        <w:rPr>
          <w:rFonts w:cs="Arial"/>
          <w:sz w:val="22"/>
          <w:szCs w:val="20"/>
        </w:rPr>
        <w:t>os responsables de</w:t>
      </w:r>
      <w:r w:rsidRPr="008D7963">
        <w:rPr>
          <w:rFonts w:cs="Arial"/>
          <w:sz w:val="22"/>
          <w:szCs w:val="20"/>
        </w:rPr>
        <w:t xml:space="preserve"> proceso</w:t>
      </w:r>
      <w:r w:rsidR="001C36D2" w:rsidRPr="008D7963">
        <w:rPr>
          <w:rFonts w:cs="Arial"/>
          <w:sz w:val="22"/>
          <w:szCs w:val="20"/>
        </w:rPr>
        <w:t xml:space="preserve">, remitidos por correo electrónico </w:t>
      </w:r>
      <w:r w:rsidR="00F011F3" w:rsidRPr="008D7963">
        <w:rPr>
          <w:rFonts w:cs="Arial"/>
          <w:sz w:val="22"/>
          <w:szCs w:val="20"/>
        </w:rPr>
        <w:t>el 14 de octubre de</w:t>
      </w:r>
      <w:r w:rsidR="001C36D2" w:rsidRPr="008D7963">
        <w:rPr>
          <w:rFonts w:cs="Arial"/>
          <w:sz w:val="22"/>
          <w:szCs w:val="20"/>
        </w:rPr>
        <w:t xml:space="preserve"> 2020</w:t>
      </w:r>
      <w:r w:rsidR="00A441EC" w:rsidRPr="008D7963">
        <w:rPr>
          <w:rFonts w:cs="Arial"/>
          <w:sz w:val="22"/>
          <w:szCs w:val="20"/>
        </w:rPr>
        <w:t>.</w:t>
      </w:r>
      <w:r w:rsidR="00C50844" w:rsidRPr="008D7963">
        <w:rPr>
          <w:rFonts w:cs="Arial"/>
          <w:b/>
          <w:bCs/>
          <w:sz w:val="22"/>
        </w:rPr>
        <w:t xml:space="preserve"> </w:t>
      </w:r>
    </w:p>
    <w:p w14:paraId="67A2AF2B" w14:textId="578F72A0" w:rsidR="00FE67AE" w:rsidRPr="008D7963" w:rsidRDefault="00FE67AE" w:rsidP="00C50844">
      <w:pPr>
        <w:pStyle w:val="Textoindependiente"/>
        <w:numPr>
          <w:ilvl w:val="1"/>
          <w:numId w:val="16"/>
        </w:numPr>
        <w:spacing w:line="240" w:lineRule="atLeast"/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</w:rPr>
        <w:t>Planta de personal (Nómina).</w:t>
      </w:r>
    </w:p>
    <w:p w14:paraId="21F164E9" w14:textId="77777777" w:rsidR="00F011F3" w:rsidRPr="008D7963" w:rsidRDefault="00F011F3" w:rsidP="00F02526">
      <w:pPr>
        <w:pStyle w:val="Textoindependiente"/>
        <w:spacing w:line="240" w:lineRule="atLeast"/>
        <w:rPr>
          <w:rFonts w:cs="Arial"/>
          <w:sz w:val="22"/>
        </w:rPr>
      </w:pPr>
    </w:p>
    <w:p w14:paraId="095D0D79" w14:textId="44B90035" w:rsidR="00F02526" w:rsidRPr="008D7963" w:rsidRDefault="00F02526" w:rsidP="00F02526">
      <w:pPr>
        <w:pStyle w:val="Textoindependiente"/>
        <w:spacing w:line="240" w:lineRule="atLeast"/>
        <w:rPr>
          <w:rFonts w:cs="Arial"/>
          <w:sz w:val="22"/>
        </w:rPr>
      </w:pPr>
      <w:r w:rsidRPr="008D7963">
        <w:rPr>
          <w:rFonts w:cs="Arial"/>
          <w:sz w:val="22"/>
        </w:rPr>
        <w:t xml:space="preserve">A 30 de </w:t>
      </w:r>
      <w:r w:rsidR="00256E79" w:rsidRPr="008D7963">
        <w:rPr>
          <w:rFonts w:cs="Arial"/>
          <w:sz w:val="22"/>
        </w:rPr>
        <w:t>septiembre</w:t>
      </w:r>
      <w:r w:rsidRPr="008D7963">
        <w:rPr>
          <w:rFonts w:cs="Arial"/>
          <w:sz w:val="22"/>
        </w:rPr>
        <w:t xml:space="preserve"> de 2020 la planta de personal de la Entidad se encuentra proveída por un total de </w:t>
      </w:r>
      <w:r w:rsidR="00256E79" w:rsidRPr="008D7963">
        <w:rPr>
          <w:rFonts w:cs="Arial"/>
          <w:sz w:val="22"/>
        </w:rPr>
        <w:t>37</w:t>
      </w:r>
      <w:r w:rsidRPr="008D7963">
        <w:rPr>
          <w:rFonts w:cs="Arial"/>
          <w:sz w:val="22"/>
        </w:rPr>
        <w:t xml:space="preserve"> funcionarios de la siguiente manera: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10"/>
        <w:gridCol w:w="1559"/>
        <w:gridCol w:w="1768"/>
        <w:gridCol w:w="1328"/>
        <w:gridCol w:w="992"/>
        <w:gridCol w:w="850"/>
      </w:tblGrid>
      <w:tr w:rsidR="00FE67AE" w:rsidRPr="008D7963" w14:paraId="4658A61D" w14:textId="77777777" w:rsidTr="00AD7A84">
        <w:trPr>
          <w:trHeight w:val="7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7D760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661B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CARRERA ADMINISTRATIVA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C067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PROVISONALES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D16F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LIBRE NOMBRAMIENTO Y REMOCIÓN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7B00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PERIODO DE PRUEBA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7A28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PERIODO FIJO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0B20" w14:textId="77777777" w:rsidR="00FE67AE" w:rsidRPr="008D7963" w:rsidRDefault="00FE67AE" w:rsidP="00FE67A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TOTAL </w:t>
            </w:r>
          </w:p>
        </w:tc>
      </w:tr>
      <w:tr w:rsidR="00FE67AE" w:rsidRPr="008D7963" w14:paraId="24E95AD1" w14:textId="77777777" w:rsidTr="00FE67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780E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A2E8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E62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F6F8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5B1D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B43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07A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37</w:t>
            </w:r>
          </w:p>
        </w:tc>
      </w:tr>
      <w:tr w:rsidR="00FE67AE" w:rsidRPr="008D7963" w14:paraId="63E31EF6" w14:textId="77777777" w:rsidTr="00FE67A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DD3E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2020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5AC7" w14:textId="726101F1" w:rsidR="00FE67AE" w:rsidRPr="008D7963" w:rsidRDefault="00256E79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7A87" w14:textId="6FD47FB1" w:rsidR="00FE67AE" w:rsidRPr="008D7963" w:rsidRDefault="00256E79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7F28" w14:textId="6A9003F8" w:rsidR="00FE67AE" w:rsidRPr="008D7963" w:rsidRDefault="00256E79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13F2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12C4" w14:textId="77777777" w:rsidR="00FE67AE" w:rsidRPr="008D7963" w:rsidRDefault="00FE67AE" w:rsidP="00AD7A8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99A" w14:textId="4941EC7C" w:rsidR="00FE67AE" w:rsidRPr="008D7963" w:rsidRDefault="00256E79" w:rsidP="00AD7A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37</w:t>
            </w:r>
          </w:p>
        </w:tc>
      </w:tr>
    </w:tbl>
    <w:p w14:paraId="3DEB9E15" w14:textId="3DB1D889" w:rsidR="00FE67AE" w:rsidRPr="008D7963" w:rsidRDefault="005F2A4B" w:rsidP="00FE67AE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>Fuente:</w:t>
      </w:r>
      <w:r w:rsidR="00F02526" w:rsidRPr="008D7963">
        <w:rPr>
          <w:rFonts w:cs="Arial"/>
          <w:b/>
          <w:bCs/>
          <w:i/>
          <w:iCs/>
          <w:sz w:val="16"/>
          <w:szCs w:val="16"/>
        </w:rPr>
        <w:t xml:space="preserve"> </w:t>
      </w:r>
      <w:r w:rsidR="00F02526" w:rsidRPr="008D7963">
        <w:rPr>
          <w:rFonts w:cs="Arial"/>
          <w:i/>
          <w:iCs/>
          <w:sz w:val="16"/>
          <w:szCs w:val="16"/>
        </w:rPr>
        <w:t>Subdirección Administrativa y Financiera.</w:t>
      </w:r>
    </w:p>
    <w:p w14:paraId="6ACCC36D" w14:textId="77777777" w:rsidR="00AB1558" w:rsidRPr="008D7963" w:rsidRDefault="00AB1558" w:rsidP="00FE67AE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6D553E6D" w14:textId="19F2B944" w:rsidR="00FE67AE" w:rsidRPr="008D7963" w:rsidRDefault="00FE67AE" w:rsidP="00C50844">
      <w:pPr>
        <w:pStyle w:val="Prrafodelista"/>
        <w:numPr>
          <w:ilvl w:val="1"/>
          <w:numId w:val="16"/>
        </w:numPr>
        <w:tabs>
          <w:tab w:val="left" w:pos="1935"/>
          <w:tab w:val="left" w:pos="7200"/>
        </w:tabs>
        <w:spacing w:after="0" w:line="240" w:lineRule="auto"/>
        <w:rPr>
          <w:rFonts w:cs="Arial"/>
          <w:b/>
          <w:sz w:val="22"/>
        </w:rPr>
      </w:pPr>
      <w:r w:rsidRPr="008D7963">
        <w:rPr>
          <w:rFonts w:cs="Arial"/>
          <w:b/>
          <w:sz w:val="22"/>
        </w:rPr>
        <w:t>Servicios personales asociados a la nómina.</w:t>
      </w:r>
    </w:p>
    <w:p w14:paraId="5FF31351" w14:textId="3716087F" w:rsidR="00F02526" w:rsidRPr="008D7963" w:rsidRDefault="00F02526" w:rsidP="00F02526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1595"/>
        <w:gridCol w:w="1552"/>
        <w:gridCol w:w="1989"/>
        <w:gridCol w:w="1151"/>
      </w:tblGrid>
      <w:tr w:rsidR="003F7BCF" w:rsidRPr="008D7963" w14:paraId="512F5DE7" w14:textId="77777777" w:rsidTr="003F7BCF">
        <w:trPr>
          <w:trHeight w:val="900"/>
        </w:trPr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F6C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CONCEPTO 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687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TRIMESTRE 2020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024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TRIMESTRE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2019 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2E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VAR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ABSOLUTA RESPECTO AL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TRIMESTRE  ANTERIOR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30F7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VAR %  RESPECTO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AL TRIMESTRE ANTERIOR</w:t>
            </w:r>
          </w:p>
        </w:tc>
      </w:tr>
      <w:tr w:rsidR="003F7BCF" w:rsidRPr="008D7963" w14:paraId="7D00BD0B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F85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Bonificación por Recreación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AAC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  1,684,026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1BA7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942,277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C756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   741,749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F6D9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79%</w:t>
            </w:r>
          </w:p>
        </w:tc>
      </w:tr>
      <w:tr w:rsidR="003F7BCF" w:rsidRPr="008D7963" w14:paraId="7D98AD0D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383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Bonificación por servicios prestados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D73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  8,443,464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BBD7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29,779,072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9DC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21,335,608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8F0C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-72%</w:t>
            </w:r>
          </w:p>
        </w:tc>
      </w:tr>
      <w:tr w:rsidR="003F7BCF" w:rsidRPr="008D7963" w14:paraId="16CE2E87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C8ED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Gastos de representación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1A05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77,220,577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F734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76,021,036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10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1,199,541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CFA1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2%</w:t>
            </w:r>
          </w:p>
        </w:tc>
      </w:tr>
      <w:tr w:rsidR="003F7BCF" w:rsidRPr="008D7963" w14:paraId="1C060820" w14:textId="77777777" w:rsidTr="003F7BCF">
        <w:trPr>
          <w:trHeight w:val="300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BF1D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Horas Extras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614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               -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C18F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1,369,149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20D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  1,369,149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3429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-100%</w:t>
            </w:r>
          </w:p>
        </w:tc>
      </w:tr>
      <w:tr w:rsidR="003F7BCF" w:rsidRPr="008D7963" w14:paraId="34D34941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7796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Indemnización por vacaciones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85AA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18,901,748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B23B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BCB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18,901,748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E60D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100%</w:t>
            </w:r>
          </w:p>
        </w:tc>
      </w:tr>
      <w:tr w:rsidR="003F7BCF" w:rsidRPr="008D7963" w14:paraId="4B227CA1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15DC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Prima de antigüedad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B3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13,146,761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2192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10,589,578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D805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2,557,183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2CEE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24%</w:t>
            </w:r>
          </w:p>
        </w:tc>
      </w:tr>
      <w:tr w:rsidR="003F7BCF" w:rsidRPr="008D7963" w14:paraId="6DC1A208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1FC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Prima de Navidad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DDB0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  6,708,254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8B2A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F8D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6,708,254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59D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100%</w:t>
            </w:r>
          </w:p>
        </w:tc>
      </w:tr>
      <w:tr w:rsidR="003F7BCF" w:rsidRPr="008D7963" w14:paraId="376ACEB4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775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Prima de Vacaciones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025F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20,599,773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B933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12,266,112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654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8,333,661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C55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68%</w:t>
            </w:r>
          </w:p>
        </w:tc>
      </w:tr>
      <w:tr w:rsidR="003F7BCF" w:rsidRPr="008D7963" w14:paraId="72885E83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93C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Prima Técnica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0E1A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166,768,833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FB33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149,421,895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1D4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17,346,938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14BD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12%</w:t>
            </w:r>
          </w:p>
        </w:tc>
      </w:tr>
      <w:tr w:rsidR="003F7BCF" w:rsidRPr="008D7963" w14:paraId="5627DEB1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CF35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Prima de servicios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1BC5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                 - 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D41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724A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             -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6C42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0%</w:t>
            </w:r>
          </w:p>
        </w:tc>
      </w:tr>
      <w:tr w:rsidR="003F7BCF" w:rsidRPr="008D7963" w14:paraId="5AF185BE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76A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Sueldo de personal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28E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   429,356,880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FB48" w14:textId="77777777" w:rsidR="003F7BCF" w:rsidRPr="008D7963" w:rsidRDefault="003F7BCF" w:rsidP="003F7BC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446,654,975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DC0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17,298,095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1B5C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-4%</w:t>
            </w:r>
          </w:p>
        </w:tc>
      </w:tr>
      <w:tr w:rsidR="003F7BCF" w:rsidRPr="008D7963" w14:paraId="4B1EAC55" w14:textId="77777777" w:rsidTr="003F7BCF">
        <w:trPr>
          <w:trHeight w:val="315"/>
        </w:trPr>
        <w:tc>
          <w:tcPr>
            <w:tcW w:w="2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A475" w14:textId="77777777" w:rsidR="003F7BCF" w:rsidRPr="008D7963" w:rsidRDefault="003F7BCF" w:rsidP="003F7BCF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TOTALES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25ED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             742,830,316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9ADAB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            727,044,094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847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         15,786,222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8FDB" w14:textId="77777777" w:rsidR="003F7BCF" w:rsidRPr="008D7963" w:rsidRDefault="003F7BCF" w:rsidP="003F7BC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2%</w:t>
            </w:r>
          </w:p>
        </w:tc>
      </w:tr>
    </w:tbl>
    <w:p w14:paraId="5E7F3F23" w14:textId="6350B332" w:rsidR="00BA7793" w:rsidRPr="008D7963" w:rsidRDefault="003F7BCF">
      <w:pPr>
        <w:jc w:val="left"/>
        <w:rPr>
          <w:rFonts w:eastAsia="Calibri" w:cs="Arial"/>
          <w:i/>
          <w:iCs/>
          <w:color w:val="FF0000"/>
          <w:sz w:val="22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>Subdirección Administrativa y Financiera – Ordenes de pago por rubro presupuestal GOOBI.</w:t>
      </w:r>
    </w:p>
    <w:p w14:paraId="40A845E1" w14:textId="77777777" w:rsidR="00DB5F7B" w:rsidRPr="008D7963" w:rsidRDefault="00DB5F7B">
      <w:pPr>
        <w:jc w:val="left"/>
        <w:rPr>
          <w:rFonts w:eastAsia="Calibri" w:cs="Arial"/>
          <w:i/>
          <w:iCs/>
          <w:color w:val="FF0000"/>
          <w:sz w:val="22"/>
        </w:rPr>
      </w:pPr>
    </w:p>
    <w:p w14:paraId="128DB2C4" w14:textId="77777777" w:rsidR="00DB5F7B" w:rsidRPr="008D7963" w:rsidRDefault="00DB5F7B">
      <w:pPr>
        <w:jc w:val="left"/>
        <w:rPr>
          <w:rFonts w:eastAsia="Calibri" w:cs="Arial"/>
          <w:i/>
          <w:iCs/>
          <w:color w:val="FF0000"/>
          <w:sz w:val="22"/>
        </w:rPr>
      </w:pPr>
    </w:p>
    <w:p w14:paraId="610FC8F7" w14:textId="77777777" w:rsidR="00DB5F7B" w:rsidRPr="008D7963" w:rsidRDefault="00DB5F7B">
      <w:pPr>
        <w:jc w:val="left"/>
        <w:rPr>
          <w:rFonts w:eastAsia="Calibri" w:cs="Arial"/>
          <w:i/>
          <w:iCs/>
          <w:color w:val="FF0000"/>
          <w:sz w:val="22"/>
        </w:rPr>
      </w:pPr>
    </w:p>
    <w:p w14:paraId="6D7CE92C" w14:textId="15E3542C" w:rsidR="00E363BA" w:rsidRPr="008D7963" w:rsidRDefault="00E363BA" w:rsidP="00E363BA">
      <w:pPr>
        <w:pStyle w:val="Textoindependiente"/>
        <w:rPr>
          <w:rFonts w:eastAsia="Calibri" w:cs="Arial"/>
          <w:b/>
          <w:sz w:val="22"/>
        </w:rPr>
      </w:pPr>
      <w:r w:rsidRPr="008D7963">
        <w:rPr>
          <w:rFonts w:eastAsia="Calibri" w:cs="Arial"/>
          <w:sz w:val="22"/>
        </w:rPr>
        <w:t>Del cuadro comparativo anterior</w:t>
      </w:r>
      <w:r w:rsidR="004F1EC0" w:rsidRPr="008D7963">
        <w:rPr>
          <w:rFonts w:eastAsia="Calibri" w:cs="Arial"/>
          <w:sz w:val="22"/>
        </w:rPr>
        <w:t xml:space="preserve"> se observa un aumento </w:t>
      </w:r>
      <w:r w:rsidR="009D5BE7" w:rsidRPr="008D7963">
        <w:rPr>
          <w:rFonts w:eastAsia="Calibri" w:cs="Arial"/>
          <w:sz w:val="22"/>
        </w:rPr>
        <w:t xml:space="preserve">del </w:t>
      </w:r>
      <w:r w:rsidR="003F7BCF" w:rsidRPr="008D7963">
        <w:rPr>
          <w:rFonts w:eastAsia="Calibri" w:cs="Arial"/>
          <w:sz w:val="22"/>
          <w:lang w:val="es-419"/>
        </w:rPr>
        <w:t>2%</w:t>
      </w:r>
      <w:r w:rsidR="009D5BE7" w:rsidRPr="008D7963">
        <w:rPr>
          <w:rFonts w:eastAsia="Calibri" w:cs="Arial"/>
          <w:sz w:val="22"/>
        </w:rPr>
        <w:t xml:space="preserve"> con respecto al mismo periodo del año anterior;</w:t>
      </w:r>
      <w:r w:rsidRPr="008D7963">
        <w:rPr>
          <w:rFonts w:eastAsia="Calibri" w:cs="Arial"/>
          <w:sz w:val="22"/>
        </w:rPr>
        <w:t xml:space="preserve"> se concluye que las variaciones más representativas se presentaron en los conceptos</w:t>
      </w:r>
      <w:r w:rsidRPr="008D7963">
        <w:rPr>
          <w:rFonts w:eastAsia="Calibri" w:cs="Arial"/>
          <w:b/>
          <w:sz w:val="22"/>
        </w:rPr>
        <w:t>:</w:t>
      </w:r>
    </w:p>
    <w:p w14:paraId="1D29D686" w14:textId="45DBCCB1" w:rsidR="004F1EC0" w:rsidRPr="008D7963" w:rsidRDefault="00E363BA" w:rsidP="00987F16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sz w:val="22"/>
        </w:rPr>
      </w:pPr>
      <w:r w:rsidRPr="008D7963">
        <w:rPr>
          <w:rFonts w:cs="Arial"/>
          <w:b/>
          <w:sz w:val="22"/>
        </w:rPr>
        <w:t xml:space="preserve">Bonificación por </w:t>
      </w:r>
      <w:r w:rsidR="004F1EC0" w:rsidRPr="008D7963">
        <w:rPr>
          <w:rFonts w:cs="Arial"/>
          <w:b/>
          <w:sz w:val="22"/>
        </w:rPr>
        <w:t>Recreación</w:t>
      </w:r>
      <w:r w:rsidR="00470AE4" w:rsidRPr="008D7963">
        <w:rPr>
          <w:rFonts w:cs="Arial"/>
          <w:sz w:val="22"/>
        </w:rPr>
        <w:t xml:space="preserve">: </w:t>
      </w:r>
      <w:r w:rsidR="00987F16" w:rsidRPr="008D7963">
        <w:rPr>
          <w:rFonts w:cs="Arial"/>
          <w:sz w:val="22"/>
        </w:rPr>
        <w:t>La variación se debe a que en este año en el trimestre señalado más funcionarios solicitaron disfrute de su periodo de vacaciones, este factor se brinda cuando el funcionario disfruta de sus vacaciones.</w:t>
      </w:r>
    </w:p>
    <w:p w14:paraId="4AB7CDED" w14:textId="77777777" w:rsidR="00987F16" w:rsidRPr="008D7963" w:rsidRDefault="00987F16" w:rsidP="00987F16">
      <w:pPr>
        <w:pStyle w:val="Prrafodelista"/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sz w:val="22"/>
        </w:rPr>
      </w:pPr>
    </w:p>
    <w:p w14:paraId="1F11F55D" w14:textId="3332CDCB" w:rsidR="004F1EC0" w:rsidRPr="008D7963" w:rsidRDefault="004F1EC0" w:rsidP="00987F16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b/>
          <w:sz w:val="22"/>
        </w:rPr>
      </w:pPr>
      <w:r w:rsidRPr="008D7963">
        <w:rPr>
          <w:rFonts w:cs="Arial"/>
          <w:b/>
          <w:sz w:val="22"/>
        </w:rPr>
        <w:t>Bonificación por Servicios Prestados:</w:t>
      </w:r>
      <w:r w:rsidRPr="008D7963">
        <w:rPr>
          <w:rFonts w:cs="Arial"/>
          <w:sz w:val="22"/>
        </w:rPr>
        <w:t xml:space="preserve">   </w:t>
      </w:r>
      <w:r w:rsidR="00987F16" w:rsidRPr="008D7963">
        <w:rPr>
          <w:rFonts w:cs="Arial"/>
          <w:sz w:val="22"/>
        </w:rPr>
        <w:t>La variación se presenta debido al cambio de funcionarios nombrados a través de la figura "Libre Nombramiento y Remoción", el año pasado se les otorgó este beneficio a los funcionarios que en ese trimestre cumplieron un año de servicio, de los nombrados este año ninguno de los recién nombrados ha cumplido con este requisito.</w:t>
      </w:r>
    </w:p>
    <w:p w14:paraId="3ED2263E" w14:textId="77777777" w:rsidR="004F1EC0" w:rsidRPr="008D7963" w:rsidRDefault="004F1EC0" w:rsidP="00987F16">
      <w:pPr>
        <w:pStyle w:val="Prrafodelista"/>
        <w:tabs>
          <w:tab w:val="left" w:pos="6075"/>
        </w:tabs>
        <w:autoSpaceDE w:val="0"/>
        <w:autoSpaceDN w:val="0"/>
        <w:adjustRightInd w:val="0"/>
        <w:spacing w:after="160" w:line="259" w:lineRule="auto"/>
        <w:ind w:left="284"/>
        <w:rPr>
          <w:rFonts w:cs="Arial"/>
          <w:b/>
          <w:sz w:val="22"/>
        </w:rPr>
      </w:pPr>
    </w:p>
    <w:p w14:paraId="128E68C9" w14:textId="607223BD" w:rsidR="00987F16" w:rsidRPr="008D7963" w:rsidRDefault="00E363BA" w:rsidP="00987F16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bCs/>
          <w:sz w:val="20"/>
          <w:szCs w:val="20"/>
        </w:rPr>
      </w:pPr>
      <w:r w:rsidRPr="008D7963">
        <w:rPr>
          <w:rFonts w:cs="Arial"/>
          <w:b/>
          <w:sz w:val="22"/>
        </w:rPr>
        <w:t>Horas Extras:</w:t>
      </w:r>
      <w:r w:rsidRPr="008D7963">
        <w:rPr>
          <w:rFonts w:cs="Arial"/>
          <w:sz w:val="22"/>
        </w:rPr>
        <w:t xml:space="preserve"> </w:t>
      </w:r>
      <w:r w:rsidR="00987F16" w:rsidRPr="008D7963">
        <w:rPr>
          <w:rFonts w:cs="Arial"/>
          <w:sz w:val="22"/>
        </w:rPr>
        <w:t>La variación se debe a que, debido a la pandemia, los recursos correspondientes a horas extras no han sido ejecutados en el año 2020.</w:t>
      </w:r>
    </w:p>
    <w:p w14:paraId="0EB33EDB" w14:textId="77777777" w:rsidR="00765653" w:rsidRPr="008D7963" w:rsidRDefault="00765653" w:rsidP="00765653">
      <w:pPr>
        <w:pStyle w:val="Prrafodelista"/>
        <w:rPr>
          <w:rFonts w:cs="Arial"/>
          <w:b/>
          <w:sz w:val="22"/>
        </w:rPr>
      </w:pPr>
    </w:p>
    <w:p w14:paraId="4D88510F" w14:textId="74D635B9" w:rsidR="00765653" w:rsidRPr="008D7963" w:rsidRDefault="009D5BE7" w:rsidP="00987F16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b/>
          <w:sz w:val="22"/>
        </w:rPr>
      </w:pPr>
      <w:r w:rsidRPr="008D7963">
        <w:rPr>
          <w:rFonts w:cs="Arial"/>
          <w:b/>
          <w:sz w:val="22"/>
        </w:rPr>
        <w:t>Prima de Vacaciones:</w:t>
      </w:r>
      <w:r w:rsidRPr="008D7963">
        <w:rPr>
          <w:rFonts w:cs="Arial"/>
          <w:bCs/>
          <w:sz w:val="22"/>
        </w:rPr>
        <w:t xml:space="preserve"> Se observa </w:t>
      </w:r>
      <w:r w:rsidR="00987F16" w:rsidRPr="008D7963">
        <w:rPr>
          <w:rFonts w:cs="Arial"/>
          <w:bCs/>
          <w:sz w:val="22"/>
        </w:rPr>
        <w:t>un incremento del 68%</w:t>
      </w:r>
      <w:r w:rsidR="00765653" w:rsidRPr="008D7963">
        <w:rPr>
          <w:rFonts w:cs="Arial"/>
          <w:bCs/>
          <w:sz w:val="22"/>
        </w:rPr>
        <w:t xml:space="preserve"> </w:t>
      </w:r>
      <w:r w:rsidRPr="008D7963">
        <w:rPr>
          <w:rFonts w:cs="Arial"/>
          <w:bCs/>
          <w:sz w:val="22"/>
        </w:rPr>
        <w:t xml:space="preserve">comparado con el mismo periodo del año anterior, </w:t>
      </w:r>
      <w:r w:rsidR="00987F16" w:rsidRPr="008D7963">
        <w:rPr>
          <w:rFonts w:cs="Arial"/>
          <w:bCs/>
          <w:sz w:val="22"/>
        </w:rPr>
        <w:t>se debe a que en este año en el trimestre señalado más funcionarios solicitaron disfrute de su periodo de vacaciones, este factor se brinda cuando el funcionario disfruta de sus vacaciones o cuando se desvincula de la entidad.</w:t>
      </w:r>
    </w:p>
    <w:p w14:paraId="05D9A2C8" w14:textId="77777777" w:rsidR="00987F16" w:rsidRPr="008D7963" w:rsidRDefault="00987F16" w:rsidP="00987F16">
      <w:pPr>
        <w:pStyle w:val="Prrafodelista"/>
        <w:rPr>
          <w:rFonts w:cs="Arial"/>
          <w:b/>
          <w:sz w:val="22"/>
        </w:rPr>
      </w:pPr>
    </w:p>
    <w:p w14:paraId="135288D8" w14:textId="5876D851" w:rsidR="000A24BB" w:rsidRPr="008D7963" w:rsidRDefault="000A24BB" w:rsidP="00987F16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bCs/>
          <w:sz w:val="22"/>
        </w:rPr>
      </w:pPr>
      <w:r w:rsidRPr="008D7963">
        <w:rPr>
          <w:rFonts w:cs="Arial"/>
          <w:b/>
          <w:sz w:val="22"/>
        </w:rPr>
        <w:t xml:space="preserve">Indemnización por vacaciones: </w:t>
      </w:r>
      <w:r w:rsidR="00987F16" w:rsidRPr="008D7963">
        <w:rPr>
          <w:rFonts w:cs="Arial"/>
          <w:sz w:val="22"/>
        </w:rPr>
        <w:t>La ejecución de los recursos de este factor se presentó debido a la desvinculación de dos funcionarias, esta novedad no se presentó en el mismo periodo del 2019 pero si hubo desvinculaciones en el tercer trimestre del 2020.</w:t>
      </w:r>
      <w:r w:rsidR="00765653" w:rsidRPr="008D7963">
        <w:rPr>
          <w:rFonts w:cs="Arial"/>
          <w:bCs/>
          <w:sz w:val="22"/>
        </w:rPr>
        <w:t xml:space="preserve"> </w:t>
      </w:r>
    </w:p>
    <w:p w14:paraId="009BE405" w14:textId="77777777" w:rsidR="00D26CBC" w:rsidRPr="008D7963" w:rsidRDefault="00D26CBC" w:rsidP="00D26CBC">
      <w:pPr>
        <w:pStyle w:val="Prrafodelista"/>
        <w:rPr>
          <w:rFonts w:cs="Arial"/>
          <w:bCs/>
          <w:sz w:val="22"/>
        </w:rPr>
      </w:pPr>
    </w:p>
    <w:p w14:paraId="6BA6FF45" w14:textId="07548D1F" w:rsidR="00D26CBC" w:rsidRPr="008D7963" w:rsidRDefault="00D26CBC" w:rsidP="00D26CBC">
      <w:pPr>
        <w:pStyle w:val="Prrafodelista"/>
        <w:numPr>
          <w:ilvl w:val="0"/>
          <w:numId w:val="15"/>
        </w:numPr>
        <w:tabs>
          <w:tab w:val="left" w:pos="6075"/>
        </w:tabs>
        <w:autoSpaceDE w:val="0"/>
        <w:autoSpaceDN w:val="0"/>
        <w:adjustRightInd w:val="0"/>
        <w:spacing w:after="160" w:line="259" w:lineRule="auto"/>
        <w:ind w:left="0" w:hanging="284"/>
        <w:rPr>
          <w:rFonts w:cs="Arial"/>
          <w:bCs/>
          <w:sz w:val="22"/>
        </w:rPr>
      </w:pPr>
      <w:r w:rsidRPr="008D7963">
        <w:rPr>
          <w:rFonts w:cs="Arial"/>
          <w:b/>
          <w:bCs/>
          <w:sz w:val="22"/>
        </w:rPr>
        <w:t>Prima de servicios</w:t>
      </w:r>
      <w:r w:rsidRPr="008D7963">
        <w:rPr>
          <w:rFonts w:cs="Arial"/>
          <w:bCs/>
          <w:sz w:val="22"/>
        </w:rPr>
        <w:t>:</w:t>
      </w:r>
      <w:r w:rsidRPr="008D7963">
        <w:t xml:space="preserve"> </w:t>
      </w:r>
      <w:r w:rsidRPr="008D7963">
        <w:rPr>
          <w:rFonts w:cs="Arial"/>
          <w:bCs/>
          <w:sz w:val="22"/>
        </w:rPr>
        <w:t>Este concepto solo se paga en el mes de junio, correspondiente al segundo semestre del año, por eso no se registra pago en ninguno de los dos años.</w:t>
      </w:r>
    </w:p>
    <w:p w14:paraId="320857F2" w14:textId="77777777" w:rsidR="00C05436" w:rsidRPr="008D7963" w:rsidRDefault="00C05436" w:rsidP="000A24BB">
      <w:pPr>
        <w:pStyle w:val="Sinespaciado"/>
        <w:jc w:val="both"/>
        <w:rPr>
          <w:rFonts w:ascii="Arial" w:hAnsi="Arial" w:cs="Arial"/>
          <w:bCs/>
          <w:color w:val="FF0000"/>
        </w:rPr>
      </w:pPr>
    </w:p>
    <w:p w14:paraId="0D415B0C" w14:textId="6BD755B4" w:rsidR="00ED78DE" w:rsidRPr="008D7963" w:rsidRDefault="00ED78DE" w:rsidP="00C50844">
      <w:pPr>
        <w:pStyle w:val="Textoindependiente"/>
        <w:numPr>
          <w:ilvl w:val="1"/>
          <w:numId w:val="16"/>
        </w:numPr>
        <w:spacing w:line="240" w:lineRule="atLeast"/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</w:rPr>
        <w:t xml:space="preserve">Prestación de Servicios. </w:t>
      </w:r>
    </w:p>
    <w:p w14:paraId="4AF5DDBF" w14:textId="77777777" w:rsidR="00BC557D" w:rsidRPr="008D7963" w:rsidRDefault="00BC557D" w:rsidP="00BC557D">
      <w:pPr>
        <w:pStyle w:val="Textoindependiente"/>
        <w:spacing w:line="240" w:lineRule="atLeast"/>
        <w:ind w:left="1004"/>
        <w:rPr>
          <w:rFonts w:cs="Arial"/>
          <w:b/>
          <w:bCs/>
          <w:sz w:val="22"/>
        </w:rPr>
      </w:pPr>
    </w:p>
    <w:p w14:paraId="203452E3" w14:textId="0522BBD4" w:rsidR="006673B9" w:rsidRPr="008D7963" w:rsidRDefault="00ED78DE" w:rsidP="003C650A">
      <w:pPr>
        <w:rPr>
          <w:rFonts w:cs="Arial"/>
          <w:sz w:val="22"/>
          <w:szCs w:val="20"/>
        </w:rPr>
      </w:pPr>
      <w:r w:rsidRPr="008D7963">
        <w:rPr>
          <w:rFonts w:cs="Arial"/>
          <w:sz w:val="22"/>
          <w:szCs w:val="20"/>
        </w:rPr>
        <w:t xml:space="preserve">En atención a lo dispuesto en el Decreto 1068 de 2015 y el Decreto Distrital 492 de </w:t>
      </w:r>
      <w:r w:rsidR="007F50C6" w:rsidRPr="008D7963">
        <w:rPr>
          <w:rFonts w:cs="Arial"/>
          <w:sz w:val="22"/>
          <w:szCs w:val="20"/>
        </w:rPr>
        <w:t>2019, los</w:t>
      </w:r>
      <w:r w:rsidRPr="008D7963">
        <w:rPr>
          <w:rFonts w:cs="Arial"/>
          <w:sz w:val="22"/>
          <w:szCs w:val="20"/>
        </w:rPr>
        <w:t xml:space="preserve"> contratos de prestación de servicios solo se podrán celebrar cuando no exista personal de planta con capacidad para realizar las actividades que contratarán</w:t>
      </w:r>
      <w:r w:rsidR="00FC4B97" w:rsidRPr="008D7963">
        <w:rPr>
          <w:rFonts w:cs="Arial"/>
          <w:sz w:val="22"/>
          <w:szCs w:val="20"/>
        </w:rPr>
        <w:t xml:space="preserve">; </w:t>
      </w:r>
      <w:r w:rsidRPr="008D7963">
        <w:rPr>
          <w:rFonts w:cs="Arial"/>
          <w:sz w:val="22"/>
          <w:szCs w:val="20"/>
        </w:rPr>
        <w:t>el Instituto cuenta con 3</w:t>
      </w:r>
      <w:r w:rsidR="00D26CBC" w:rsidRPr="008D7963">
        <w:rPr>
          <w:rFonts w:cs="Arial"/>
          <w:sz w:val="22"/>
          <w:szCs w:val="20"/>
        </w:rPr>
        <w:t>7</w:t>
      </w:r>
      <w:r w:rsidRPr="008D7963">
        <w:rPr>
          <w:rFonts w:cs="Arial"/>
          <w:sz w:val="22"/>
          <w:szCs w:val="20"/>
        </w:rPr>
        <w:t xml:space="preserve"> funcionarios de planta los cuales no son suficientes para atender las actividades que se requieren en las diferentes áreas</w:t>
      </w:r>
      <w:r w:rsidR="006673B9" w:rsidRPr="008D7963">
        <w:rPr>
          <w:rFonts w:cs="Arial"/>
          <w:sz w:val="22"/>
          <w:szCs w:val="20"/>
        </w:rPr>
        <w:t>.</w:t>
      </w:r>
    </w:p>
    <w:p w14:paraId="4D7795FD" w14:textId="535C37CD" w:rsidR="00800A0A" w:rsidRPr="008D7963" w:rsidRDefault="00C05436" w:rsidP="00800A0A">
      <w:pPr>
        <w:spacing w:before="60" w:after="60"/>
        <w:rPr>
          <w:sz w:val="22"/>
        </w:rPr>
      </w:pPr>
      <w:r w:rsidRPr="008D7963">
        <w:rPr>
          <w:rFonts w:cs="Arial"/>
          <w:sz w:val="22"/>
          <w:shd w:val="clear" w:color="auto" w:fill="FFFFFF"/>
        </w:rPr>
        <w:lastRenderedPageBreak/>
        <w:t>Es preciso tener en cuenta que durante la vigencia 2019 no hubo contratación, esto con ocasión a la ley de garantías</w:t>
      </w:r>
      <w:r w:rsidR="00800A0A" w:rsidRPr="008D7963">
        <w:rPr>
          <w:rFonts w:cs="Arial"/>
          <w:sz w:val="22"/>
          <w:shd w:val="clear" w:color="auto" w:fill="FFFFFF"/>
          <w:lang w:val="es-419"/>
        </w:rPr>
        <w:t xml:space="preserve"> la</w:t>
      </w:r>
      <w:r w:rsidR="00800A0A" w:rsidRPr="008D7963">
        <w:rPr>
          <w:sz w:val="22"/>
        </w:rPr>
        <w:t xml:space="preserve"> contratación se realizó durante el primer y segundo trimestre de la vigencia. </w:t>
      </w:r>
    </w:p>
    <w:p w14:paraId="399DB445" w14:textId="77777777" w:rsidR="00C05436" w:rsidRPr="008D7963" w:rsidRDefault="00C05436" w:rsidP="00C05436">
      <w:pPr>
        <w:pStyle w:val="Textoindependiente"/>
        <w:rPr>
          <w:rFonts w:eastAsia="Times New Roman" w:cs="Arial"/>
          <w:i/>
          <w:sz w:val="16"/>
          <w:szCs w:val="16"/>
          <w:lang w:val="es-419" w:eastAsia="es-ES"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1559"/>
        <w:gridCol w:w="992"/>
        <w:gridCol w:w="1418"/>
        <w:gridCol w:w="1253"/>
        <w:gridCol w:w="1156"/>
      </w:tblGrid>
      <w:tr w:rsidR="008B0327" w:rsidRPr="008D7963" w14:paraId="695C8991" w14:textId="77777777" w:rsidTr="00B6714E">
        <w:trPr>
          <w:trHeight w:val="25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FE7E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MODALIDAD DE CONTRATACIÓN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EFC12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TERCER TRIMESTRE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8FF48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TERCER TRIMESTRE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1E3C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 VAR. ABS 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BCAA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 VAR. % </w:t>
            </w:r>
          </w:p>
        </w:tc>
      </w:tr>
      <w:tr w:rsidR="008B0327" w:rsidRPr="008D7963" w14:paraId="343340C7" w14:textId="77777777" w:rsidTr="00B6714E">
        <w:trPr>
          <w:trHeight w:val="2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66847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B3525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22C5FA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1D31F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D3B28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F8198B" w:rsidRPr="008D7963" w14:paraId="779AD0F5" w14:textId="77777777" w:rsidTr="00B6714E">
        <w:trPr>
          <w:trHeight w:val="257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8E491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5315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469E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C3CA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No.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CC31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Valor 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22EE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7E7F8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F8198B" w:rsidRPr="008D7963" w14:paraId="472E21E9" w14:textId="77777777" w:rsidTr="00B6714E">
        <w:trPr>
          <w:trHeight w:val="3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4C3B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PRESTACIÓN DE SS ASOCIADOS AL PROYECTO MISIONAL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2569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0CE7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$1.110.025.000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D900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C218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FE8B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$1.110.025.000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FDC96" w14:textId="20E4DB6E" w:rsidR="00F8198B" w:rsidRPr="008D7963" w:rsidRDefault="00B6714E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</w:tr>
      <w:tr w:rsidR="00F8198B" w:rsidRPr="008D7963" w14:paraId="0D319D9F" w14:textId="77777777" w:rsidTr="00B6714E">
        <w:trPr>
          <w:trHeight w:val="3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C30F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PRESTACIÓN DE SS ASOCIADOS AL PROYECTO FORTALECIMIENTO INSTITUCIONAL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EF64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9A1C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$204.050.454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E24A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FA9D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28B0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$204.050.454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B9EA2" w14:textId="06C2CC14" w:rsidR="00F8198B" w:rsidRPr="008D7963" w:rsidRDefault="00B6714E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</w:tr>
      <w:tr w:rsidR="00F8198B" w:rsidRPr="008D7963" w14:paraId="3711D8B5" w14:textId="77777777" w:rsidTr="00B6714E">
        <w:trPr>
          <w:trHeight w:val="37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9E79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PRESTACIÓN DE SS ASOCIADOS AL PROYECTO MISIONAL MIXTO CON FUNCIONAMIENTO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6D44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6CFE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3B52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73C3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7B172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F1F54" w14:textId="7A1BC8D2" w:rsidR="00F8198B" w:rsidRPr="008D7963" w:rsidRDefault="00B6714E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</w:tr>
      <w:tr w:rsidR="00F8198B" w:rsidRPr="008D7963" w14:paraId="3C3280B4" w14:textId="77777777" w:rsidTr="00B6714E">
        <w:trPr>
          <w:trHeight w:val="25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6B4D" w14:textId="77777777" w:rsidR="00F8198B" w:rsidRPr="008D7963" w:rsidRDefault="00F8198B" w:rsidP="00F8198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30C0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3667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$1.314.075.454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AE29C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68AA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03479" w14:textId="77777777" w:rsidR="00F8198B" w:rsidRPr="008D7963" w:rsidRDefault="00F8198B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$1.314.075.454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9E351" w14:textId="16F40AEA" w:rsidR="00F8198B" w:rsidRPr="008D7963" w:rsidRDefault="00B6714E" w:rsidP="00F8198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</w:rPr>
              <w:t>-</w:t>
            </w:r>
          </w:p>
        </w:tc>
      </w:tr>
    </w:tbl>
    <w:p w14:paraId="0BBA657C" w14:textId="2C70169F" w:rsidR="0026611D" w:rsidRPr="008D7963" w:rsidRDefault="000E0CE3" w:rsidP="00FC4B97">
      <w:pPr>
        <w:pStyle w:val="Textoindependiente"/>
        <w:rPr>
          <w:rFonts w:eastAsia="Times New Roman" w:cs="Arial"/>
          <w:i/>
          <w:sz w:val="16"/>
          <w:szCs w:val="16"/>
          <w:lang w:val="es-419" w:eastAsia="es-ES"/>
        </w:rPr>
      </w:pPr>
      <w:r w:rsidRPr="008D7963">
        <w:rPr>
          <w:rFonts w:eastAsia="Times New Roman" w:cs="Arial"/>
          <w:i/>
          <w:sz w:val="16"/>
          <w:szCs w:val="16"/>
          <w:lang w:val="es-419" w:eastAsia="es-ES"/>
        </w:rPr>
        <w:t>Fuente: Oficina Asesora Jurídica</w:t>
      </w:r>
    </w:p>
    <w:p w14:paraId="4BCF9616" w14:textId="77777777" w:rsidR="00AB1558" w:rsidRPr="008D7963" w:rsidRDefault="00AB1558" w:rsidP="00B6714E">
      <w:pPr>
        <w:pStyle w:val="Textoindependiente"/>
        <w:rPr>
          <w:rFonts w:eastAsia="Times New Roman" w:cs="Arial"/>
          <w:i/>
          <w:sz w:val="16"/>
          <w:szCs w:val="16"/>
          <w:lang w:val="es-419" w:eastAsia="es-ES"/>
        </w:rPr>
      </w:pPr>
    </w:p>
    <w:p w14:paraId="62557231" w14:textId="77777777" w:rsidR="00BC557D" w:rsidRPr="008D7963" w:rsidRDefault="00F97609" w:rsidP="00B6714E">
      <w:pPr>
        <w:pStyle w:val="Textoindependiente"/>
        <w:numPr>
          <w:ilvl w:val="1"/>
          <w:numId w:val="16"/>
        </w:num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sz w:val="22"/>
        </w:rPr>
        <w:t xml:space="preserve">Compensación bono navideño: </w:t>
      </w:r>
    </w:p>
    <w:p w14:paraId="78C5899B" w14:textId="030AA8AE" w:rsidR="00F97609" w:rsidRPr="008D7963" w:rsidRDefault="006E5790" w:rsidP="00BC557D">
      <w:pPr>
        <w:pStyle w:val="Textoindependiente"/>
        <w:spacing w:after="0" w:line="240" w:lineRule="auto"/>
        <w:ind w:left="1004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>E</w:t>
      </w:r>
      <w:r w:rsidR="00F97609" w:rsidRPr="008D7963">
        <w:rPr>
          <w:rFonts w:cs="Arial"/>
          <w:bCs/>
          <w:sz w:val="22"/>
          <w:shd w:val="clear" w:color="auto" w:fill="FFFFFF"/>
          <w:lang w:val="es-ES"/>
        </w:rPr>
        <w:t xml:space="preserve">ste rubro se ejecuta hasta el mes de diciembre. </w:t>
      </w:r>
    </w:p>
    <w:p w14:paraId="4ABD72D8" w14:textId="77777777" w:rsidR="006E5790" w:rsidRPr="008D7963" w:rsidRDefault="006E5790" w:rsidP="00F97609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56AC5934" w14:textId="748E2B07" w:rsidR="00DE600B" w:rsidRPr="008D7963" w:rsidRDefault="00DE600B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  <w:shd w:val="clear" w:color="auto" w:fill="FFFFFF"/>
          <w:lang w:val="es-ES"/>
        </w:rPr>
        <w:t>Capacitación</w:t>
      </w:r>
      <w:r w:rsidR="006E5790" w:rsidRPr="008D7963">
        <w:rPr>
          <w:rFonts w:cs="Arial"/>
          <w:b/>
          <w:bCs/>
          <w:sz w:val="22"/>
          <w:shd w:val="clear" w:color="auto" w:fill="FFFFFF"/>
          <w:lang w:val="es-ES"/>
        </w:rPr>
        <w:t>:</w:t>
      </w:r>
    </w:p>
    <w:p w14:paraId="77F8504B" w14:textId="77777777" w:rsidR="00DE600B" w:rsidRPr="008D7963" w:rsidRDefault="00DE600B" w:rsidP="008E627A">
      <w:pPr>
        <w:spacing w:after="0"/>
        <w:ind w:left="720"/>
        <w:contextualSpacing/>
        <w:rPr>
          <w:rFonts w:cs="Arial"/>
          <w:b/>
          <w:bCs/>
          <w:sz w:val="22"/>
          <w:shd w:val="clear" w:color="auto" w:fill="FFFFFF"/>
          <w:lang w:val="es-ES"/>
        </w:rPr>
      </w:pPr>
    </w:p>
    <w:p w14:paraId="7DB5356B" w14:textId="1ED75F19" w:rsidR="00332016" w:rsidRPr="008D7963" w:rsidRDefault="00332016" w:rsidP="0026611D">
      <w:pPr>
        <w:spacing w:after="0" w:line="240" w:lineRule="auto"/>
        <w:ind w:right="-518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En la página web de la Entidad se encuentra publicado el Plan Institucional de Capacitación en el link: </w:t>
      </w:r>
      <w:hyperlink r:id="rId7" w:anchor="overlay-context=" w:history="1">
        <w:r w:rsidRPr="008D7963">
          <w:rPr>
            <w:rStyle w:val="Hipervnculo"/>
            <w:rFonts w:cs="Arial"/>
            <w:color w:val="auto"/>
            <w:sz w:val="22"/>
            <w:u w:val="none"/>
          </w:rPr>
          <w:t>http://www.idep.edu.co/?q=content/gth-13-proceso-de-gesti%C3%B3n-de-talento-humano#overlay-context=</w:t>
        </w:r>
      </w:hyperlink>
      <w:r w:rsidRPr="008D7963">
        <w:rPr>
          <w:rFonts w:cs="Arial"/>
          <w:sz w:val="22"/>
        </w:rPr>
        <w:t xml:space="preserve">,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durante el </w:t>
      </w:r>
      <w:r w:rsidR="0026611D" w:rsidRPr="008D7963">
        <w:rPr>
          <w:rFonts w:cs="Arial"/>
          <w:bCs/>
          <w:sz w:val="22"/>
          <w:shd w:val="clear" w:color="auto" w:fill="FFFFFF"/>
          <w:lang w:val="es-ES"/>
        </w:rPr>
        <w:t>tercer</w:t>
      </w:r>
      <w:r w:rsidR="006E5790" w:rsidRPr="008D7963">
        <w:rPr>
          <w:rFonts w:cs="Arial"/>
          <w:bCs/>
          <w:sz w:val="22"/>
          <w:shd w:val="clear" w:color="auto" w:fill="FFFFFF"/>
          <w:lang w:val="es-ES"/>
        </w:rPr>
        <w:t xml:space="preserve">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trimestre </w:t>
      </w:r>
      <w:r w:rsidR="0026611D" w:rsidRPr="008D7963">
        <w:rPr>
          <w:rFonts w:cs="Arial"/>
          <w:bCs/>
          <w:sz w:val="22"/>
          <w:shd w:val="clear" w:color="auto" w:fill="FFFFFF"/>
          <w:lang w:val="es-ES"/>
        </w:rPr>
        <w:t xml:space="preserve">la variación porcentual entre vigencias se debe al cronograma de ejecución de actividades proyectadas en el plan de trabajo con el operador de capacitación (COMPENSAR) el cual para el año 2020 </w:t>
      </w:r>
      <w:r w:rsidR="000F0830" w:rsidRPr="008D7963">
        <w:rPr>
          <w:rFonts w:cs="Arial"/>
          <w:bCs/>
          <w:sz w:val="22"/>
          <w:shd w:val="clear" w:color="auto" w:fill="FFFFFF"/>
          <w:lang w:val="es-ES"/>
        </w:rPr>
        <w:t xml:space="preserve">donde se </w:t>
      </w:r>
      <w:r w:rsidR="0026611D" w:rsidRPr="008D7963">
        <w:rPr>
          <w:rFonts w:cs="Arial"/>
          <w:bCs/>
          <w:sz w:val="22"/>
          <w:shd w:val="clear" w:color="auto" w:fill="FFFFFF"/>
          <w:lang w:val="es-ES"/>
        </w:rPr>
        <w:t>vinculó más actividades para el tercer trimestre, respecto al cronograma de acciones de 2019.</w:t>
      </w:r>
    </w:p>
    <w:p w14:paraId="5548CD9E" w14:textId="77777777" w:rsidR="00BC557D" w:rsidRPr="008D7963" w:rsidRDefault="00BC557D" w:rsidP="0026611D">
      <w:pPr>
        <w:spacing w:after="0" w:line="240" w:lineRule="auto"/>
        <w:ind w:right="-518"/>
        <w:rPr>
          <w:rFonts w:cs="Arial"/>
          <w:bCs/>
          <w:sz w:val="22"/>
          <w:shd w:val="clear" w:color="auto" w:fill="FFFFFF"/>
          <w:lang w:val="es-ES"/>
        </w:rPr>
      </w:pPr>
    </w:p>
    <w:p w14:paraId="7B0BC494" w14:textId="77777777" w:rsidR="0026611D" w:rsidRPr="008D7963" w:rsidRDefault="0026611D" w:rsidP="0026611D">
      <w:pPr>
        <w:spacing w:after="0" w:line="240" w:lineRule="auto"/>
        <w:rPr>
          <w:rFonts w:cs="Arial"/>
          <w:b/>
          <w:bCs/>
          <w:shd w:val="clear" w:color="auto" w:fill="FFFFFF"/>
          <w:lang w:val="es-ES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413"/>
        <w:gridCol w:w="1413"/>
        <w:gridCol w:w="2010"/>
        <w:gridCol w:w="2010"/>
      </w:tblGrid>
      <w:tr w:rsidR="00AC62FB" w:rsidRPr="008D7963" w14:paraId="1C9DE29D" w14:textId="77777777" w:rsidTr="00BD46DB">
        <w:trPr>
          <w:trHeight w:val="574"/>
        </w:trPr>
        <w:tc>
          <w:tcPr>
            <w:tcW w:w="2488" w:type="dxa"/>
            <w:shd w:val="clear" w:color="auto" w:fill="auto"/>
            <w:vAlign w:val="center"/>
            <w:hideMark/>
          </w:tcPr>
          <w:p w14:paraId="2BCF4475" w14:textId="77777777" w:rsidR="00332016" w:rsidRPr="008D7963" w:rsidRDefault="00332016" w:rsidP="008E62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4981F646" w14:textId="3E3F0803" w:rsidR="00332016" w:rsidRPr="008D7963" w:rsidRDefault="0026611D" w:rsidP="008E62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TERCER </w:t>
            </w:r>
            <w:r w:rsidR="00332016" w:rsidRPr="008D7963">
              <w:rPr>
                <w:rFonts w:eastAsia="Times New Roman" w:cs="Arial"/>
                <w:b/>
                <w:bCs/>
                <w:sz w:val="16"/>
                <w:szCs w:val="16"/>
              </w:rPr>
              <w:t>TRIMESTRE VIGENCIA 2020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19D1B6FF" w14:textId="33BBF72D" w:rsidR="00332016" w:rsidRPr="008D7963" w:rsidRDefault="0026611D" w:rsidP="008E62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>TERCER</w:t>
            </w:r>
            <w:r w:rsidR="006E5790"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 </w:t>
            </w:r>
            <w:r w:rsidR="00332016" w:rsidRPr="008D7963">
              <w:rPr>
                <w:rFonts w:eastAsia="Times New Roman" w:cs="Arial"/>
                <w:b/>
                <w:bCs/>
                <w:sz w:val="16"/>
                <w:szCs w:val="16"/>
              </w:rPr>
              <w:t>TRIMESTRE VIGENCIA 2020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1D6606C4" w14:textId="1F0A55E5" w:rsidR="00332016" w:rsidRPr="008D7963" w:rsidRDefault="00332016" w:rsidP="008E62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VARIACIÓN ABSOLUTA 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14:paraId="6E1E5488" w14:textId="6A8E02F6" w:rsidR="00332016" w:rsidRPr="008D7963" w:rsidRDefault="00332016" w:rsidP="008E62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</w:rPr>
              <w:t xml:space="preserve">VARIACIÓN PORCENTUAL </w:t>
            </w:r>
          </w:p>
        </w:tc>
      </w:tr>
      <w:tr w:rsidR="00332016" w:rsidRPr="008D7963" w14:paraId="7151DDD3" w14:textId="77777777" w:rsidTr="000300F5">
        <w:trPr>
          <w:trHeight w:val="413"/>
        </w:trPr>
        <w:tc>
          <w:tcPr>
            <w:tcW w:w="2488" w:type="dxa"/>
            <w:vAlign w:val="center"/>
            <w:hideMark/>
          </w:tcPr>
          <w:p w14:paraId="700B6897" w14:textId="77777777" w:rsidR="00332016" w:rsidRPr="008D7963" w:rsidRDefault="00332016" w:rsidP="008E627A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Capacitación</w:t>
            </w:r>
          </w:p>
        </w:tc>
        <w:tc>
          <w:tcPr>
            <w:tcW w:w="1413" w:type="dxa"/>
            <w:vAlign w:val="center"/>
            <w:hideMark/>
          </w:tcPr>
          <w:p w14:paraId="00B8549B" w14:textId="253F211D" w:rsidR="00332016" w:rsidRPr="008D7963" w:rsidRDefault="00332016" w:rsidP="0026611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$</w:t>
            </w:r>
            <w:r w:rsidR="0026611D" w:rsidRPr="008D7963">
              <w:rPr>
                <w:rFonts w:eastAsia="Times New Roman" w:cs="Arial"/>
                <w:sz w:val="16"/>
                <w:szCs w:val="16"/>
              </w:rPr>
              <w:t>8.114.000</w:t>
            </w:r>
          </w:p>
        </w:tc>
        <w:tc>
          <w:tcPr>
            <w:tcW w:w="1413" w:type="dxa"/>
            <w:vAlign w:val="center"/>
            <w:hideMark/>
          </w:tcPr>
          <w:p w14:paraId="3A927994" w14:textId="79F2CBB3" w:rsidR="00332016" w:rsidRPr="008D7963" w:rsidRDefault="00332016" w:rsidP="0026611D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$</w:t>
            </w:r>
            <w:r w:rsidR="0026611D" w:rsidRPr="008D7963">
              <w:rPr>
                <w:rFonts w:eastAsia="Times New Roman" w:cs="Arial"/>
                <w:sz w:val="16"/>
                <w:szCs w:val="16"/>
              </w:rPr>
              <w:t>4.050.200</w:t>
            </w:r>
            <w:r w:rsidRPr="008D7963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2010" w:type="dxa"/>
            <w:vAlign w:val="center"/>
            <w:hideMark/>
          </w:tcPr>
          <w:p w14:paraId="204EF03F" w14:textId="529B53B2" w:rsidR="00332016" w:rsidRPr="008D7963" w:rsidRDefault="00332016" w:rsidP="0026611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$</w:t>
            </w:r>
            <w:r w:rsidR="0026611D" w:rsidRPr="008D7963">
              <w:rPr>
                <w:rFonts w:eastAsia="Times New Roman" w:cs="Arial"/>
                <w:sz w:val="16"/>
                <w:szCs w:val="16"/>
              </w:rPr>
              <w:t>4.063.800</w:t>
            </w:r>
          </w:p>
        </w:tc>
        <w:tc>
          <w:tcPr>
            <w:tcW w:w="2010" w:type="dxa"/>
            <w:vAlign w:val="center"/>
            <w:hideMark/>
          </w:tcPr>
          <w:p w14:paraId="0F6358C9" w14:textId="395A8383" w:rsidR="00332016" w:rsidRPr="008D7963" w:rsidRDefault="0026611D" w:rsidP="008E627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8D7963">
              <w:rPr>
                <w:rFonts w:eastAsia="Times New Roman" w:cs="Arial"/>
                <w:sz w:val="16"/>
                <w:szCs w:val="16"/>
              </w:rPr>
              <w:t>100</w:t>
            </w:r>
            <w:r w:rsidR="00332016" w:rsidRPr="008D7963">
              <w:rPr>
                <w:rFonts w:eastAsia="Times New Roman" w:cs="Arial"/>
                <w:sz w:val="16"/>
                <w:szCs w:val="16"/>
              </w:rPr>
              <w:t>%</w:t>
            </w:r>
          </w:p>
        </w:tc>
      </w:tr>
    </w:tbl>
    <w:p w14:paraId="3672233A" w14:textId="2FA6D3FD" w:rsidR="00FD7F19" w:rsidRPr="008D7963" w:rsidRDefault="00FD7F19" w:rsidP="00FD7F1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2CB053F1" w14:textId="75BD9B83" w:rsidR="00C34F2A" w:rsidRPr="008D7963" w:rsidRDefault="00C34F2A">
      <w:pPr>
        <w:jc w:val="left"/>
        <w:rPr>
          <w:rFonts w:cs="Arial"/>
          <w:b/>
          <w:bCs/>
          <w:sz w:val="22"/>
          <w:szCs w:val="20"/>
          <w:shd w:val="clear" w:color="auto" w:fill="FFFFFF"/>
          <w:lang w:val="es-ES"/>
        </w:rPr>
      </w:pPr>
    </w:p>
    <w:p w14:paraId="37992212" w14:textId="5356315B" w:rsidR="00332016" w:rsidRPr="008D7963" w:rsidRDefault="00DE600B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bCs/>
          <w:sz w:val="22"/>
          <w:szCs w:val="20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  <w:szCs w:val="20"/>
          <w:shd w:val="clear" w:color="auto" w:fill="FFFFFF"/>
          <w:lang w:val="es-ES"/>
        </w:rPr>
        <w:t xml:space="preserve">Bienestar </w:t>
      </w:r>
      <w:r w:rsidR="00CB77FC" w:rsidRPr="008D7963">
        <w:rPr>
          <w:rFonts w:cs="Arial"/>
          <w:b/>
          <w:bCs/>
          <w:sz w:val="22"/>
          <w:szCs w:val="20"/>
          <w:shd w:val="clear" w:color="auto" w:fill="FFFFFF"/>
          <w:lang w:val="es-ES"/>
        </w:rPr>
        <w:t>e incentivos</w:t>
      </w:r>
      <w:r w:rsidR="006E5790" w:rsidRPr="008D7963">
        <w:rPr>
          <w:rFonts w:cs="Arial"/>
          <w:b/>
          <w:bCs/>
          <w:sz w:val="22"/>
          <w:szCs w:val="20"/>
          <w:shd w:val="clear" w:color="auto" w:fill="FFFFFF"/>
          <w:lang w:val="es-ES"/>
        </w:rPr>
        <w:t>:</w:t>
      </w:r>
    </w:p>
    <w:p w14:paraId="0C207F0A" w14:textId="77777777" w:rsidR="00332016" w:rsidRPr="008D7963" w:rsidRDefault="00332016" w:rsidP="00332016">
      <w:pPr>
        <w:spacing w:after="0" w:line="240" w:lineRule="auto"/>
        <w:rPr>
          <w:rFonts w:cs="Arial"/>
          <w:sz w:val="22"/>
          <w:szCs w:val="20"/>
          <w:shd w:val="clear" w:color="auto" w:fill="FFFFFF"/>
          <w:lang w:val="es-ES"/>
        </w:rPr>
      </w:pPr>
    </w:p>
    <w:p w14:paraId="64A3F741" w14:textId="0603E269" w:rsidR="00332016" w:rsidRPr="008D7963" w:rsidRDefault="00332016" w:rsidP="00332016">
      <w:pPr>
        <w:spacing w:after="0" w:line="240" w:lineRule="auto"/>
        <w:rPr>
          <w:rStyle w:val="Hipervnculo"/>
          <w:rFonts w:cs="Arial"/>
          <w:color w:val="auto"/>
          <w:sz w:val="22"/>
          <w:szCs w:val="20"/>
        </w:rPr>
      </w:pPr>
      <w:r w:rsidRPr="008D7963">
        <w:rPr>
          <w:rFonts w:cs="Arial"/>
          <w:bCs/>
          <w:sz w:val="22"/>
          <w:szCs w:val="20"/>
          <w:shd w:val="clear" w:color="auto" w:fill="FFFFFF"/>
          <w:lang w:val="es-ES"/>
        </w:rPr>
        <w:t xml:space="preserve">En la página web de la Entidad se encuentra publicado el Plan de Bienestar e Incentivos en el link: </w:t>
      </w:r>
      <w:hyperlink r:id="rId8" w:history="1">
        <w:r w:rsidRPr="008D7963">
          <w:rPr>
            <w:rStyle w:val="Hipervnculo"/>
            <w:rFonts w:cs="Arial"/>
            <w:color w:val="auto"/>
            <w:sz w:val="22"/>
            <w:szCs w:val="20"/>
          </w:rPr>
          <w:t>http://www.idep.edu.co/sites/default/files/PL-GTH-13-03%20Plan%20de%20Bienestar%20e%20incentivos%20V7.pdf</w:t>
        </w:r>
      </w:hyperlink>
    </w:p>
    <w:p w14:paraId="5E118652" w14:textId="615AF01F" w:rsidR="00AB1558" w:rsidRPr="008D7963" w:rsidRDefault="00AB1558" w:rsidP="00332016">
      <w:pPr>
        <w:spacing w:after="0" w:line="240" w:lineRule="auto"/>
        <w:rPr>
          <w:rStyle w:val="Hipervnculo"/>
          <w:rFonts w:cs="Arial"/>
          <w:szCs w:val="20"/>
        </w:rPr>
      </w:pPr>
    </w:p>
    <w:p w14:paraId="78BACA85" w14:textId="77777777" w:rsidR="00AB1558" w:rsidRPr="008D7963" w:rsidRDefault="00AB1558" w:rsidP="00332016">
      <w:pPr>
        <w:spacing w:after="0" w:line="240" w:lineRule="auto"/>
        <w:rPr>
          <w:rFonts w:cs="Arial"/>
          <w:bCs/>
          <w:sz w:val="22"/>
          <w:szCs w:val="20"/>
          <w:shd w:val="clear" w:color="auto" w:fill="FFFFFF"/>
          <w:lang w:val="es-ES"/>
        </w:rPr>
      </w:pPr>
    </w:p>
    <w:tbl>
      <w:tblPr>
        <w:tblW w:w="8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729"/>
        <w:gridCol w:w="1948"/>
        <w:gridCol w:w="2040"/>
        <w:gridCol w:w="1410"/>
      </w:tblGrid>
      <w:tr w:rsidR="006E0B15" w:rsidRPr="008D7963" w14:paraId="12000E02" w14:textId="77777777" w:rsidTr="00BD46DB">
        <w:trPr>
          <w:trHeight w:val="71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EF5E3" w14:textId="77777777" w:rsidR="006E0B15" w:rsidRPr="008D7963" w:rsidRDefault="006E0B15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sz w:val="16"/>
                <w:szCs w:val="16"/>
              </w:rPr>
              <w:t xml:space="preserve">CONCEPTO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BD49" w14:textId="77777777" w:rsidR="006E0B15" w:rsidRPr="008D7963" w:rsidRDefault="006E0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sz w:val="16"/>
                <w:szCs w:val="16"/>
              </w:rPr>
              <w:t xml:space="preserve"> TERCER</w:t>
            </w:r>
            <w:r w:rsidRPr="008D7963">
              <w:rPr>
                <w:rFonts w:cs="Arial"/>
                <w:b/>
                <w:bCs/>
                <w:sz w:val="16"/>
                <w:szCs w:val="16"/>
              </w:rPr>
              <w:br/>
              <w:t xml:space="preserve">TRIMESTRE 2020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97FB9" w14:textId="77777777" w:rsidR="006E0B15" w:rsidRPr="008D7963" w:rsidRDefault="006E0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sz w:val="16"/>
                <w:szCs w:val="16"/>
              </w:rPr>
              <w:t xml:space="preserve"> TERCER TRIMESTRE </w:t>
            </w:r>
            <w:r w:rsidRPr="008D7963">
              <w:rPr>
                <w:rFonts w:cs="Arial"/>
                <w:b/>
                <w:bCs/>
                <w:sz w:val="16"/>
                <w:szCs w:val="16"/>
              </w:rPr>
              <w:br/>
              <w:t xml:space="preserve">2019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5ACC0" w14:textId="77777777" w:rsidR="006E0B15" w:rsidRPr="008D7963" w:rsidRDefault="006E0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sz w:val="16"/>
                <w:szCs w:val="16"/>
              </w:rPr>
              <w:t xml:space="preserve">VAR. ABSOLUTA RESPECTO AL </w:t>
            </w:r>
            <w:r w:rsidRPr="008D7963">
              <w:rPr>
                <w:rFonts w:cs="Arial"/>
                <w:b/>
                <w:bCs/>
                <w:sz w:val="16"/>
                <w:szCs w:val="16"/>
              </w:rPr>
              <w:br/>
              <w:t>TRIMESTRE  ANTERIOR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14C12" w14:textId="77777777" w:rsidR="006E0B15" w:rsidRPr="008D7963" w:rsidRDefault="006E0B1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sz w:val="16"/>
                <w:szCs w:val="16"/>
              </w:rPr>
              <w:t xml:space="preserve">VAR %  RESPECTO </w:t>
            </w:r>
            <w:r w:rsidRPr="008D7963">
              <w:rPr>
                <w:rFonts w:cs="Arial"/>
                <w:b/>
                <w:bCs/>
                <w:sz w:val="16"/>
                <w:szCs w:val="16"/>
              </w:rPr>
              <w:br/>
              <w:t>AL TRIMESTRE ANTERIOR</w:t>
            </w:r>
          </w:p>
        </w:tc>
      </w:tr>
      <w:tr w:rsidR="006E0B15" w:rsidRPr="008D7963" w14:paraId="1882935A" w14:textId="77777777" w:rsidTr="006E0B15">
        <w:trPr>
          <w:trHeight w:val="421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6106F" w14:textId="77777777" w:rsidR="006E0B15" w:rsidRPr="008D7963" w:rsidRDefault="006E0B15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</w:rPr>
              <w:t xml:space="preserve">Bienestar e incentivos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484" w14:textId="75F0A48C" w:rsidR="006E0B15" w:rsidRPr="008D7963" w:rsidRDefault="006E0B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</w:rPr>
              <w:t>8.917.500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E8620" w14:textId="220CDAC9" w:rsidR="006E0B15" w:rsidRPr="008D7963" w:rsidRDefault="006E0B1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C2B01" w14:textId="77777777" w:rsidR="006E0B15" w:rsidRPr="008D7963" w:rsidRDefault="006E0B15">
            <w:pPr>
              <w:jc w:val="center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 xml:space="preserve">             417.500,00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A93BD" w14:textId="77777777" w:rsidR="006E0B15" w:rsidRPr="008D7963" w:rsidRDefault="006E0B15">
            <w:pPr>
              <w:jc w:val="center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>5%</w:t>
            </w:r>
          </w:p>
        </w:tc>
      </w:tr>
    </w:tbl>
    <w:p w14:paraId="53BE37CB" w14:textId="77777777" w:rsidR="00FD7F19" w:rsidRPr="008D7963" w:rsidRDefault="00FD7F19" w:rsidP="00FD7F1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5AA6CFD5" w14:textId="77777777" w:rsidR="00AB1558" w:rsidRPr="008D7963" w:rsidRDefault="006E0B15" w:rsidP="006E0B15">
      <w:pPr>
        <w:rPr>
          <w:sz w:val="22"/>
        </w:rPr>
      </w:pPr>
      <w:r w:rsidRPr="008D7963">
        <w:rPr>
          <w:sz w:val="22"/>
          <w:shd w:val="clear" w:color="auto" w:fill="FFFFFF"/>
          <w:lang w:val="es-ES"/>
        </w:rPr>
        <w:t>Se realizó contrato para el año 2020 con la Caja de compensación Familiar COMPENSAR para Prestar los servicios de apoyo a la gestión para el desarrollo de las actividades enmarcadas en el Plan de Bienestar, Plan de Capacitación y Prevención y Promoción de la Seguridad y Salud en el Trabajo, para los funcionarios del IDEP durante la vigencia 2020.</w:t>
      </w:r>
      <w:r w:rsidRPr="008D7963">
        <w:rPr>
          <w:sz w:val="22"/>
        </w:rPr>
        <w:t xml:space="preserve"> Se incrementó en un 5% con respecto al año 2019</w:t>
      </w:r>
      <w:r w:rsidR="00AB1558" w:rsidRPr="008D7963">
        <w:rPr>
          <w:sz w:val="22"/>
        </w:rPr>
        <w:t>.</w:t>
      </w:r>
    </w:p>
    <w:p w14:paraId="6B2F91DA" w14:textId="1AEA7373" w:rsidR="006912FE" w:rsidRPr="008D7963" w:rsidRDefault="006912FE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sz w:val="22"/>
          <w:shd w:val="clear" w:color="auto" w:fill="FFFFFF"/>
          <w:lang w:val="es-ES"/>
        </w:rPr>
      </w:pPr>
      <w:r w:rsidRPr="008D7963">
        <w:rPr>
          <w:rFonts w:cs="Arial"/>
          <w:b/>
          <w:sz w:val="22"/>
          <w:shd w:val="clear" w:color="auto" w:fill="FFFFFF"/>
          <w:lang w:val="es-ES"/>
        </w:rPr>
        <w:t>Dotación:</w:t>
      </w:r>
    </w:p>
    <w:p w14:paraId="2F5BC3F7" w14:textId="77777777" w:rsidR="006912FE" w:rsidRPr="008D7963" w:rsidRDefault="006912FE" w:rsidP="006912FE">
      <w:pPr>
        <w:pStyle w:val="Prrafodelista"/>
        <w:spacing w:after="0" w:line="240" w:lineRule="auto"/>
        <w:rPr>
          <w:rFonts w:cs="Arial"/>
          <w:b/>
          <w:sz w:val="22"/>
          <w:shd w:val="clear" w:color="auto" w:fill="FFFFFF"/>
          <w:lang w:val="es-ES"/>
        </w:rPr>
      </w:pPr>
    </w:p>
    <w:p w14:paraId="1A292F0A" w14:textId="1601C1CB" w:rsidR="006673B9" w:rsidRPr="008D7963" w:rsidRDefault="00AD5B28" w:rsidP="006912FE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>Se contrató con SODEXO SERVICIOS DE BENEFICIOS E INCENTIVOS COLOMBIA  S.A. el 23 de abril de 2020.</w:t>
      </w:r>
      <w:r w:rsidRPr="008D7963">
        <w:t xml:space="preserve"> La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Adquisición de bonos y/o vale</w:t>
      </w:r>
      <w:r w:rsidR="00C34F2A" w:rsidRPr="008D7963">
        <w:rPr>
          <w:rFonts w:cs="Arial"/>
          <w:bCs/>
          <w:sz w:val="22"/>
          <w:shd w:val="clear" w:color="auto" w:fill="FFFFFF"/>
          <w:lang w:val="es-ES"/>
        </w:rPr>
        <w:t>s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 canjeables única y exclusivamente para la compra de vestuario y calzado para los funcionarios del IDEP</w:t>
      </w:r>
    </w:p>
    <w:p w14:paraId="18016140" w14:textId="3A0B5DC8" w:rsidR="006912FE" w:rsidRPr="008D7963" w:rsidRDefault="006912FE" w:rsidP="006912FE">
      <w:pPr>
        <w:spacing w:after="0" w:line="240" w:lineRule="auto"/>
        <w:rPr>
          <w:rFonts w:cs="Arial"/>
          <w:bCs/>
          <w:szCs w:val="24"/>
          <w:shd w:val="clear" w:color="auto" w:fill="FFFFFF"/>
          <w:lang w:val="es-ES"/>
        </w:rPr>
      </w:pPr>
    </w:p>
    <w:p w14:paraId="4D3CFC70" w14:textId="3FB3AE39" w:rsidR="00F97609" w:rsidRPr="008D7963" w:rsidRDefault="00743A03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sz w:val="22"/>
          <w:shd w:val="clear" w:color="auto" w:fill="FFFFFF"/>
          <w:lang w:val="es-ES"/>
        </w:rPr>
      </w:pPr>
      <w:r w:rsidRPr="008D7963">
        <w:rPr>
          <w:rFonts w:cs="Arial"/>
          <w:b/>
          <w:sz w:val="22"/>
          <w:shd w:val="clear" w:color="auto" w:fill="FFFFFF"/>
          <w:lang w:val="es-ES"/>
        </w:rPr>
        <w:t>Estudios técnicos de rediseño institucional</w:t>
      </w:r>
      <w:r w:rsidR="00C50844" w:rsidRPr="008D7963">
        <w:rPr>
          <w:rFonts w:cs="Arial"/>
          <w:b/>
          <w:sz w:val="22"/>
          <w:shd w:val="clear" w:color="auto" w:fill="FFFFFF"/>
          <w:lang w:val="es-ES"/>
        </w:rPr>
        <w:t>:</w:t>
      </w:r>
      <w:r w:rsidRPr="008D7963">
        <w:rPr>
          <w:rFonts w:cs="Arial"/>
          <w:b/>
          <w:sz w:val="22"/>
          <w:shd w:val="clear" w:color="auto" w:fill="FFFFFF"/>
          <w:lang w:val="es-ES"/>
        </w:rPr>
        <w:t xml:space="preserve"> </w:t>
      </w:r>
    </w:p>
    <w:p w14:paraId="086DEA2C" w14:textId="77777777" w:rsidR="00C50844" w:rsidRPr="008D7963" w:rsidRDefault="00C50844" w:rsidP="00C50844">
      <w:pPr>
        <w:pStyle w:val="Prrafodelista"/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5F091DE4" w14:textId="77777777" w:rsidR="00BC557D" w:rsidRPr="008D7963" w:rsidRDefault="00BC557D" w:rsidP="002E1C1E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7FA6C0F3" w14:textId="51051E92" w:rsidR="00743A03" w:rsidRPr="002943A4" w:rsidRDefault="00743A03" w:rsidP="002E1C1E">
      <w:pPr>
        <w:spacing w:after="0" w:line="240" w:lineRule="auto"/>
        <w:rPr>
          <w:rFonts w:cs="Arial"/>
          <w:bCs/>
          <w:sz w:val="22"/>
          <w:shd w:val="clear" w:color="auto" w:fill="FFFFFF"/>
          <w:lang w:val="es-419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Durante el </w:t>
      </w:r>
      <w:r w:rsidR="00DD29F4" w:rsidRPr="008D7963">
        <w:rPr>
          <w:rFonts w:cs="Arial"/>
          <w:bCs/>
          <w:sz w:val="22"/>
          <w:shd w:val="clear" w:color="auto" w:fill="FFFFFF"/>
          <w:lang w:val="es-ES"/>
        </w:rPr>
        <w:t>tercer</w:t>
      </w:r>
      <w:r w:rsidR="006673B9" w:rsidRPr="008D7963">
        <w:rPr>
          <w:rFonts w:cs="Arial"/>
          <w:bCs/>
          <w:sz w:val="22"/>
          <w:shd w:val="clear" w:color="auto" w:fill="FFFFFF"/>
          <w:lang w:val="es-ES"/>
        </w:rPr>
        <w:t xml:space="preserve"> trimestre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de 2020</w:t>
      </w:r>
      <w:r w:rsidR="003C650A" w:rsidRPr="008D7963">
        <w:rPr>
          <w:rFonts w:cs="Arial"/>
          <w:bCs/>
          <w:sz w:val="22"/>
          <w:shd w:val="clear" w:color="auto" w:fill="FFFFFF"/>
          <w:lang w:val="es-ES"/>
        </w:rPr>
        <w:t>,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 la Entidad gestion</w:t>
      </w:r>
      <w:r w:rsidR="00A51223" w:rsidRPr="008D7963">
        <w:rPr>
          <w:rFonts w:cs="Arial"/>
          <w:bCs/>
          <w:sz w:val="22"/>
          <w:shd w:val="clear" w:color="auto" w:fill="FFFFFF"/>
          <w:lang w:val="es-ES"/>
        </w:rPr>
        <w:t>ó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 </w:t>
      </w:r>
      <w:r w:rsidR="002943A4">
        <w:rPr>
          <w:rFonts w:cs="Arial"/>
          <w:bCs/>
          <w:sz w:val="22"/>
          <w:shd w:val="clear" w:color="auto" w:fill="FFFFFF"/>
          <w:lang w:val="es-419"/>
        </w:rPr>
        <w:t>el contrato No. 96 del 24 de septiembre de 2020 para Prestar los servicios profesionales para el levantamiento, análisis y consolidación del estudio de cargas de trabajo de la entidad, y el proyecto de modificación del Manual Específico de Funciones del IDEP</w:t>
      </w:r>
    </w:p>
    <w:p w14:paraId="2EEECE07" w14:textId="1A62A11C" w:rsidR="00743A03" w:rsidRPr="008D7963" w:rsidRDefault="00743A03" w:rsidP="00F97609">
      <w:pPr>
        <w:spacing w:after="0" w:line="240" w:lineRule="auto"/>
        <w:rPr>
          <w:rFonts w:cs="Arial"/>
          <w:bCs/>
          <w:color w:val="FF0000"/>
          <w:sz w:val="22"/>
          <w:shd w:val="clear" w:color="auto" w:fill="FFFFFF"/>
          <w:lang w:val="es-ES"/>
        </w:rPr>
      </w:pPr>
    </w:p>
    <w:p w14:paraId="54CB7C59" w14:textId="7BBD5C4B" w:rsidR="00743A03" w:rsidRPr="008D7963" w:rsidRDefault="00743A03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sz w:val="22"/>
          <w:shd w:val="clear" w:color="auto" w:fill="FFFFFF"/>
          <w:lang w:val="es-ES"/>
        </w:rPr>
      </w:pPr>
      <w:r w:rsidRPr="008D7963">
        <w:rPr>
          <w:rFonts w:cs="Arial"/>
          <w:b/>
          <w:sz w:val="22"/>
          <w:shd w:val="clear" w:color="auto" w:fill="FFFFFF"/>
          <w:lang w:val="es-ES"/>
        </w:rPr>
        <w:t xml:space="preserve">Viáticos y gastos de viaje. </w:t>
      </w:r>
    </w:p>
    <w:p w14:paraId="5FD78128" w14:textId="2CAF1F32" w:rsidR="00743A03" w:rsidRPr="008D7963" w:rsidRDefault="00743A03" w:rsidP="00F97609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24D373AB" w14:textId="77777777" w:rsidR="00BC557D" w:rsidRPr="008D7963" w:rsidRDefault="00BC557D" w:rsidP="00F97609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554C9ED3" w14:textId="16C30B2F" w:rsidR="00F43B0C" w:rsidRPr="008D7963" w:rsidRDefault="00F43B0C" w:rsidP="00F97609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>Verificada la ejecución presupuestal se evidencia que para la vigencia 2020 no existe apropiación para este rubro.</w:t>
      </w:r>
    </w:p>
    <w:p w14:paraId="5390B8D4" w14:textId="2E440AC0" w:rsidR="005B5FEE" w:rsidRPr="008D7963" w:rsidRDefault="005B5FEE">
      <w:pPr>
        <w:jc w:val="left"/>
        <w:rPr>
          <w:rFonts w:cs="Arial"/>
          <w:bCs/>
          <w:sz w:val="22"/>
          <w:shd w:val="clear" w:color="auto" w:fill="FFFFFF"/>
          <w:lang w:val="es-ES"/>
        </w:rPr>
      </w:pPr>
    </w:p>
    <w:p w14:paraId="54C7AEF8" w14:textId="77777777" w:rsidR="00DC0228" w:rsidRPr="008D7963" w:rsidRDefault="00DC0228" w:rsidP="00DC0228">
      <w:pPr>
        <w:pStyle w:val="Sinespaciado"/>
        <w:numPr>
          <w:ilvl w:val="1"/>
          <w:numId w:val="16"/>
        </w:numPr>
        <w:jc w:val="both"/>
        <w:rPr>
          <w:rFonts w:ascii="Arial" w:hAnsi="Arial" w:cs="Arial"/>
          <w:b/>
        </w:rPr>
      </w:pPr>
      <w:r w:rsidRPr="008D7963">
        <w:rPr>
          <w:rFonts w:ascii="Arial" w:hAnsi="Arial" w:cs="Arial"/>
          <w:b/>
        </w:rPr>
        <w:t>Servicios Públicos:</w:t>
      </w:r>
    </w:p>
    <w:p w14:paraId="0B9035AA" w14:textId="76E8F13D" w:rsidR="00DC0228" w:rsidRPr="008D7963" w:rsidRDefault="00DC0228" w:rsidP="00DC022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17BA8E5" w14:textId="706E5674" w:rsidR="00A44DCA" w:rsidRPr="008D7963" w:rsidRDefault="00A44DCA" w:rsidP="00DC0228">
      <w:pPr>
        <w:pStyle w:val="Sinespaciado"/>
        <w:jc w:val="both"/>
        <w:rPr>
          <w:rFonts w:ascii="Arial" w:hAnsi="Arial" w:cs="Arial"/>
          <w:bCs/>
        </w:rPr>
      </w:pPr>
      <w:r w:rsidRPr="008D7963">
        <w:rPr>
          <w:rFonts w:ascii="Arial" w:hAnsi="Arial" w:cs="Arial"/>
          <w:bCs/>
        </w:rPr>
        <w:t xml:space="preserve">Para el trimestre evaluado se presenta los siguientes desembolsos por concepto de servicios públicos: </w:t>
      </w:r>
    </w:p>
    <w:p w14:paraId="0E0D4142" w14:textId="65050016" w:rsidR="00DC0228" w:rsidRPr="008D7963" w:rsidRDefault="00DC0228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0BE13618" w14:textId="77777777" w:rsidR="00BC557D" w:rsidRPr="008D7963" w:rsidRDefault="00BC557D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59E4F1FC" w14:textId="77777777" w:rsidR="00BC557D" w:rsidRPr="008D7963" w:rsidRDefault="00BC557D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3F244463" w14:textId="77777777" w:rsidR="00BC557D" w:rsidRPr="008D7963" w:rsidRDefault="00BC557D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6D605CC2" w14:textId="77777777" w:rsidR="00BC557D" w:rsidRPr="008D7963" w:rsidRDefault="00BC557D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78EC5766" w14:textId="77777777" w:rsidR="000C76F3" w:rsidRPr="008D7963" w:rsidRDefault="000C76F3" w:rsidP="000C76F3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tbl>
      <w:tblPr>
        <w:tblW w:w="9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498"/>
        <w:gridCol w:w="1559"/>
        <w:gridCol w:w="2126"/>
        <w:gridCol w:w="2038"/>
      </w:tblGrid>
      <w:tr w:rsidR="00E03C20" w:rsidRPr="00E03C20" w14:paraId="6EC06730" w14:textId="77777777" w:rsidTr="00E03C20">
        <w:trPr>
          <w:trHeight w:val="738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93ED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CONCEPTO 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31A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</w:t>
            </w: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TRIMESTRE 2020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46A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</w:t>
            </w: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TRIMESTRE 2019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AA5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VAR. ABSOLUTA RESPECTO AL </w:t>
            </w: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TRIMESTRE  ANTERIOR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CAC2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VAR %  RESPECTO </w:t>
            </w: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AL TRIMESTRE ANTERIOR</w:t>
            </w:r>
          </w:p>
        </w:tc>
      </w:tr>
      <w:tr w:rsidR="00E03C20" w:rsidRPr="00E03C20" w14:paraId="6641CBB5" w14:textId="77777777" w:rsidTr="00E03C20">
        <w:trPr>
          <w:trHeight w:val="322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03C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Acueducto y Alcantarillado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B1E" w14:textId="33A366FE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64,380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584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145,310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E6C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                                80,930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DE80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-56%</w:t>
            </w:r>
          </w:p>
        </w:tc>
      </w:tr>
      <w:tr w:rsidR="00E03C20" w:rsidRPr="00E03C20" w14:paraId="64DFDB28" w14:textId="77777777" w:rsidTr="00E03C20">
        <w:trPr>
          <w:trHeight w:val="322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E96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Aseo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CF53" w14:textId="4FA7F784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305,200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6AC8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D5F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                            305,200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B2F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100%</w:t>
            </w:r>
          </w:p>
        </w:tc>
      </w:tr>
      <w:tr w:rsidR="00E03C20" w:rsidRPr="00E03C20" w14:paraId="713DC218" w14:textId="77777777" w:rsidTr="00E03C20">
        <w:trPr>
          <w:trHeight w:val="322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749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Energía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218" w14:textId="25E959B5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4,919,740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0EE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6,109,220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EED6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                         1,189,480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4F7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-19%</w:t>
            </w:r>
          </w:p>
        </w:tc>
      </w:tr>
      <w:tr w:rsidR="00E03C20" w:rsidRPr="00E03C20" w14:paraId="4288697A" w14:textId="77777777" w:rsidTr="00E03C20">
        <w:trPr>
          <w:trHeight w:val="461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1252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Telefonía fija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BA85" w14:textId="57E18208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3,180,330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34EA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3,538,210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27A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                             357,880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4AB1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-10%</w:t>
            </w:r>
          </w:p>
        </w:tc>
      </w:tr>
      <w:tr w:rsidR="00E03C20" w:rsidRPr="00E03C20" w14:paraId="5720CEDA" w14:textId="77777777" w:rsidTr="00E03C20">
        <w:trPr>
          <w:trHeight w:val="876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4CDC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Servicios de telecomunicaciones </w:t>
            </w: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br/>
              <w:t>a través de internet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37BC" w14:textId="4C72B1E3" w:rsidR="00E03C20" w:rsidRPr="00E03C20" w:rsidRDefault="002943A4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s-419" w:eastAsia="es-ES"/>
              </w:rPr>
              <w:t>*</w:t>
            </w:r>
            <w:r w:rsidR="00E03C20"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6,016,000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20C2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2,970,000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76D0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                         3,046,000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D638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100%</w:t>
            </w:r>
          </w:p>
        </w:tc>
      </w:tr>
      <w:tr w:rsidR="00E03C20" w:rsidRPr="00E03C20" w14:paraId="1352BB64" w14:textId="77777777" w:rsidTr="00E03C20">
        <w:trPr>
          <w:trHeight w:val="322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6FE" w14:textId="0690337A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Telefonía </w:t>
            </w:r>
            <w:r w:rsidR="005F7D5F"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Móvil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0EE" w14:textId="47F4B52F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55D9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557,130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1FD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-                                      557,130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D21E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sz w:val="16"/>
                <w:szCs w:val="16"/>
                <w:lang w:val="es-ES" w:eastAsia="es-ES"/>
              </w:rPr>
              <w:t>-100%</w:t>
            </w:r>
          </w:p>
        </w:tc>
      </w:tr>
      <w:tr w:rsidR="00E03C20" w:rsidRPr="00E03C20" w14:paraId="08FA7B06" w14:textId="77777777" w:rsidTr="00E03C20">
        <w:trPr>
          <w:trHeight w:val="322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3C8" w14:textId="77777777" w:rsidR="00E03C20" w:rsidRPr="00E03C20" w:rsidRDefault="00E03C20" w:rsidP="00E03C2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TOTALES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24C" w14:textId="19A8AC50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14,485,650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402" w14:textId="1CDE24BB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13,319,870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FE67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                                  1,165,780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6633" w14:textId="77777777" w:rsidR="00E03C20" w:rsidRPr="00E03C20" w:rsidRDefault="00E03C20" w:rsidP="00E03C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E03C20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9%</w:t>
            </w:r>
          </w:p>
        </w:tc>
      </w:tr>
    </w:tbl>
    <w:p w14:paraId="21DC7DC9" w14:textId="77777777" w:rsidR="002943A4" w:rsidRPr="008D7963" w:rsidRDefault="002943A4" w:rsidP="002943A4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65777B97" w14:textId="22D255B9" w:rsidR="002943A4" w:rsidRDefault="002943A4" w:rsidP="00DC0228">
      <w:pPr>
        <w:pStyle w:val="Textoindependiente"/>
        <w:rPr>
          <w:rFonts w:cs="Arial"/>
          <w:sz w:val="16"/>
          <w:szCs w:val="16"/>
          <w:lang w:val="es-419"/>
        </w:rPr>
      </w:pPr>
      <w:r>
        <w:rPr>
          <w:rFonts w:cs="Arial"/>
          <w:sz w:val="16"/>
          <w:szCs w:val="16"/>
          <w:lang w:val="es-419"/>
        </w:rPr>
        <w:t>*</w:t>
      </w:r>
      <w:r w:rsidRPr="002943A4">
        <w:rPr>
          <w:rFonts w:cs="Arial"/>
          <w:sz w:val="16"/>
          <w:szCs w:val="16"/>
          <w:lang w:val="es-419"/>
        </w:rPr>
        <w:t xml:space="preserve">Se incrementó en Servicios y comunicaciones a través del internet por que se contrató con CORPORACION RED NACIONAL ACADEMICA DE TECNOLOGIA </w:t>
      </w:r>
      <w:r>
        <w:rPr>
          <w:rFonts w:cs="Arial"/>
          <w:sz w:val="16"/>
          <w:szCs w:val="16"/>
          <w:lang w:val="es-419"/>
        </w:rPr>
        <w:t>por valor de $</w:t>
      </w:r>
      <w:r w:rsidRPr="002943A4">
        <w:rPr>
          <w:rFonts w:cs="Arial"/>
          <w:sz w:val="16"/>
          <w:szCs w:val="16"/>
          <w:lang w:val="es-419"/>
        </w:rPr>
        <w:t>22</w:t>
      </w:r>
      <w:r>
        <w:rPr>
          <w:rFonts w:cs="Arial"/>
          <w:sz w:val="16"/>
          <w:szCs w:val="16"/>
          <w:lang w:val="es-419"/>
        </w:rPr>
        <w:t>.</w:t>
      </w:r>
      <w:r w:rsidRPr="002943A4">
        <w:rPr>
          <w:rFonts w:cs="Arial"/>
          <w:sz w:val="16"/>
          <w:szCs w:val="16"/>
          <w:lang w:val="es-419"/>
        </w:rPr>
        <w:t>655</w:t>
      </w:r>
      <w:r>
        <w:rPr>
          <w:rFonts w:cs="Arial"/>
          <w:sz w:val="16"/>
          <w:szCs w:val="16"/>
          <w:lang w:val="es-419"/>
        </w:rPr>
        <w:t>.</w:t>
      </w:r>
      <w:r w:rsidRPr="002943A4">
        <w:rPr>
          <w:rFonts w:cs="Arial"/>
          <w:sz w:val="16"/>
          <w:szCs w:val="16"/>
          <w:lang w:val="es-419"/>
        </w:rPr>
        <w:t>000</w:t>
      </w:r>
      <w:r>
        <w:rPr>
          <w:rFonts w:cs="Arial"/>
          <w:sz w:val="16"/>
          <w:szCs w:val="16"/>
          <w:lang w:val="es-419"/>
        </w:rPr>
        <w:t xml:space="preserve"> a septiembre se habían pagado $</w:t>
      </w:r>
      <w:r w:rsidRPr="002943A4">
        <w:rPr>
          <w:rFonts w:cs="Arial"/>
          <w:sz w:val="16"/>
          <w:szCs w:val="16"/>
          <w:lang w:val="es-419"/>
        </w:rPr>
        <w:t>4</w:t>
      </w:r>
      <w:r>
        <w:rPr>
          <w:rFonts w:cs="Arial"/>
          <w:sz w:val="16"/>
          <w:szCs w:val="16"/>
          <w:lang w:val="es-419"/>
        </w:rPr>
        <w:t>.</w:t>
      </w:r>
      <w:r w:rsidRPr="002943A4">
        <w:rPr>
          <w:rFonts w:cs="Arial"/>
          <w:sz w:val="16"/>
          <w:szCs w:val="16"/>
          <w:lang w:val="es-419"/>
        </w:rPr>
        <w:t>531</w:t>
      </w:r>
      <w:r>
        <w:rPr>
          <w:rFonts w:cs="Arial"/>
          <w:sz w:val="16"/>
          <w:szCs w:val="16"/>
          <w:lang w:val="es-419"/>
        </w:rPr>
        <w:t>.</w:t>
      </w:r>
      <w:r w:rsidRPr="002943A4">
        <w:rPr>
          <w:rFonts w:cs="Arial"/>
          <w:sz w:val="16"/>
          <w:szCs w:val="16"/>
          <w:lang w:val="es-419"/>
        </w:rPr>
        <w:t>000</w:t>
      </w:r>
      <w:r>
        <w:rPr>
          <w:rFonts w:cs="Arial"/>
          <w:sz w:val="16"/>
          <w:szCs w:val="16"/>
          <w:lang w:val="es-419"/>
        </w:rPr>
        <w:t xml:space="preserve"> cuyo objeto contractual es “</w:t>
      </w:r>
      <w:r w:rsidRPr="002943A4">
        <w:rPr>
          <w:rFonts w:cs="Arial"/>
          <w:sz w:val="16"/>
          <w:szCs w:val="16"/>
          <w:lang w:val="es-419"/>
        </w:rPr>
        <w:t>Afiliar al Instituto para la Investigación Educativa y el Desarrollo Pedagógico - IDEP a la Red Nacional Académica de Tecnología Avanzada - RENATA y contar con los servicios de conectividad a la comunidad científica y de tecnología avanzada y la conectividad avanzada (internet 1:1 sin reúso + atributos de redes académicas)</w:t>
      </w:r>
      <w:r>
        <w:rPr>
          <w:rFonts w:cs="Arial"/>
          <w:sz w:val="16"/>
          <w:szCs w:val="16"/>
          <w:lang w:val="es-419"/>
        </w:rPr>
        <w:t>”</w:t>
      </w:r>
      <w:r w:rsidRPr="002943A4">
        <w:rPr>
          <w:rFonts w:cs="Arial"/>
          <w:sz w:val="16"/>
          <w:szCs w:val="16"/>
          <w:lang w:val="es-419"/>
        </w:rPr>
        <w:t>.</w:t>
      </w:r>
    </w:p>
    <w:p w14:paraId="614C7D42" w14:textId="77777777" w:rsidR="002943A4" w:rsidRDefault="002943A4" w:rsidP="00DC0228">
      <w:pPr>
        <w:pStyle w:val="Textoindependiente"/>
        <w:rPr>
          <w:rFonts w:cs="Arial"/>
          <w:sz w:val="16"/>
          <w:szCs w:val="16"/>
          <w:lang w:val="es-419"/>
        </w:rPr>
      </w:pPr>
    </w:p>
    <w:p w14:paraId="2D8D38A6" w14:textId="33CD2D38" w:rsidR="00DC0228" w:rsidRPr="008D7963" w:rsidRDefault="00DC0228" w:rsidP="00DC0228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sz w:val="22"/>
          <w:lang w:val="es-419"/>
        </w:rPr>
        <w:t xml:space="preserve">Se presenta </w:t>
      </w:r>
      <w:r w:rsidR="000C76F3" w:rsidRPr="008D7963">
        <w:rPr>
          <w:rFonts w:cs="Arial"/>
          <w:sz w:val="22"/>
          <w:lang w:val="es-419"/>
        </w:rPr>
        <w:t xml:space="preserve">un aumento </w:t>
      </w:r>
      <w:r w:rsidRPr="008D7963">
        <w:rPr>
          <w:rFonts w:cs="Arial"/>
          <w:sz w:val="22"/>
          <w:lang w:val="es-419"/>
        </w:rPr>
        <w:t xml:space="preserve">para servicios públicos del </w:t>
      </w:r>
      <w:r w:rsidR="001F42BE" w:rsidRPr="00E03C20">
        <w:rPr>
          <w:rFonts w:cs="Arial"/>
          <w:sz w:val="22"/>
          <w:lang w:val="es-419"/>
        </w:rPr>
        <w:t>9</w:t>
      </w:r>
      <w:r w:rsidR="00A24187" w:rsidRPr="00E03C20">
        <w:rPr>
          <w:rFonts w:cs="Arial"/>
          <w:sz w:val="22"/>
          <w:lang w:val="es-419"/>
        </w:rPr>
        <w:t>%</w:t>
      </w:r>
      <w:r w:rsidRPr="00E03C20">
        <w:rPr>
          <w:rFonts w:cs="Arial"/>
          <w:sz w:val="22"/>
          <w:lang w:val="es-419"/>
        </w:rPr>
        <w:t>, durante</w:t>
      </w:r>
      <w:r w:rsidRPr="008D7963">
        <w:rPr>
          <w:rFonts w:cs="Arial"/>
          <w:sz w:val="22"/>
          <w:lang w:val="es-419"/>
        </w:rPr>
        <w:t xml:space="preserve"> el </w:t>
      </w:r>
      <w:r w:rsidR="00AC6298" w:rsidRPr="008D7963">
        <w:rPr>
          <w:rFonts w:cs="Arial"/>
          <w:sz w:val="22"/>
          <w:lang w:val="es-419"/>
        </w:rPr>
        <w:t xml:space="preserve">tercer </w:t>
      </w:r>
      <w:r w:rsidRPr="008D7963">
        <w:rPr>
          <w:rFonts w:cs="Arial"/>
          <w:sz w:val="22"/>
          <w:lang w:val="es-419"/>
        </w:rPr>
        <w:t xml:space="preserve">trimestre, a </w:t>
      </w:r>
      <w:r w:rsidR="00DD29F4" w:rsidRPr="008D7963">
        <w:rPr>
          <w:rFonts w:cs="Arial"/>
          <w:sz w:val="22"/>
          <w:lang w:val="es-419"/>
        </w:rPr>
        <w:t>continuación,</w:t>
      </w:r>
      <w:r w:rsidRPr="008D7963">
        <w:rPr>
          <w:rFonts w:cs="Arial"/>
          <w:sz w:val="22"/>
          <w:lang w:val="es-419"/>
        </w:rPr>
        <w:t xml:space="preserve"> se infiere las variaciones </w:t>
      </w:r>
      <w:r w:rsidR="009B0E02" w:rsidRPr="008D7963">
        <w:rPr>
          <w:rFonts w:cs="Arial"/>
          <w:sz w:val="22"/>
          <w:lang w:val="es-419"/>
        </w:rPr>
        <w:t>más</w:t>
      </w:r>
      <w:r w:rsidRPr="008D7963">
        <w:rPr>
          <w:rFonts w:cs="Arial"/>
          <w:sz w:val="22"/>
          <w:lang w:val="es-419"/>
        </w:rPr>
        <w:t xml:space="preserve"> representativas de acuerdo con lo informado por parte del área de recursos físicos:</w:t>
      </w:r>
    </w:p>
    <w:p w14:paraId="0AE03E11" w14:textId="493B1840" w:rsidR="00AC6298" w:rsidRPr="008D7963" w:rsidRDefault="00AC6298" w:rsidP="00DC0228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b/>
          <w:bCs/>
          <w:sz w:val="22"/>
          <w:lang w:val="es-419"/>
        </w:rPr>
        <w:t>Acueducto</w:t>
      </w:r>
      <w:r w:rsidRPr="008D7963">
        <w:rPr>
          <w:rFonts w:cs="Arial"/>
          <w:sz w:val="22"/>
          <w:lang w:val="es-419"/>
        </w:rPr>
        <w:t>: Se presenta una disminución del -56%, con relación a la vigencia 2019, en el consumo de agua en el III Trimestre de la vigencia presenta disminución, teniendo en cuenta que por la Emergencia Sanitaria y la medida de aislamiento preventivo obligatorio por la pandemia del Coronavirus COVID-19, los servidores y contratistas continúan cumpliendo sus funciones y obligaciones mediante la modalidad de trabajo en casa.</w:t>
      </w:r>
    </w:p>
    <w:p w14:paraId="6F574223" w14:textId="5FFE484D" w:rsidR="00374E65" w:rsidRPr="008D7963" w:rsidRDefault="00374E65" w:rsidP="00DC0228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b/>
          <w:sz w:val="22"/>
          <w:lang w:val="es-419"/>
        </w:rPr>
        <w:t>Aseo:</w:t>
      </w:r>
      <w:r w:rsidR="006C46AF" w:rsidRPr="008D7963">
        <w:rPr>
          <w:rFonts w:cs="Arial"/>
          <w:b/>
          <w:sz w:val="22"/>
          <w:lang w:val="es-419"/>
        </w:rPr>
        <w:t xml:space="preserve"> </w:t>
      </w:r>
      <w:r w:rsidR="006C46AF" w:rsidRPr="008D7963">
        <w:rPr>
          <w:rFonts w:cs="Arial"/>
          <w:sz w:val="22"/>
          <w:lang w:val="es-419"/>
        </w:rPr>
        <w:t xml:space="preserve">En el año 2019 </w:t>
      </w:r>
      <w:r w:rsidR="00985FE5" w:rsidRPr="008D7963">
        <w:rPr>
          <w:rFonts w:cs="Arial"/>
          <w:sz w:val="22"/>
          <w:lang w:val="es-419"/>
        </w:rPr>
        <w:t xml:space="preserve">no se canceló </w:t>
      </w:r>
      <w:r w:rsidR="00986142" w:rsidRPr="008D7963">
        <w:rPr>
          <w:rFonts w:cs="Arial"/>
          <w:sz w:val="22"/>
          <w:lang w:val="es-419"/>
        </w:rPr>
        <w:t xml:space="preserve">ningún valor por este concepto </w:t>
      </w:r>
      <w:r w:rsidR="00985FE5" w:rsidRPr="008D7963">
        <w:rPr>
          <w:rFonts w:cs="Arial"/>
          <w:sz w:val="22"/>
          <w:lang w:val="es-419"/>
        </w:rPr>
        <w:t>en el tercer trimestre</w:t>
      </w:r>
      <w:r w:rsidR="002E7D81" w:rsidRPr="008D7963">
        <w:rPr>
          <w:rFonts w:cs="Arial"/>
          <w:sz w:val="22"/>
          <w:lang w:val="es-419"/>
        </w:rPr>
        <w:t>.</w:t>
      </w:r>
    </w:p>
    <w:p w14:paraId="0FD30E3B" w14:textId="627078C7" w:rsidR="000F0830" w:rsidRPr="008D7963" w:rsidRDefault="00DD29F4" w:rsidP="00A24187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b/>
          <w:sz w:val="22"/>
          <w:lang w:val="es-419"/>
        </w:rPr>
        <w:t>Energía</w:t>
      </w:r>
      <w:r w:rsidR="00A24187" w:rsidRPr="008D7963">
        <w:rPr>
          <w:rFonts w:cs="Arial"/>
          <w:b/>
          <w:sz w:val="22"/>
          <w:lang w:val="es-419"/>
        </w:rPr>
        <w:t>:</w:t>
      </w:r>
      <w:r w:rsidR="00A24187" w:rsidRPr="008D7963">
        <w:rPr>
          <w:rFonts w:cs="Arial"/>
          <w:sz w:val="22"/>
          <w:lang w:val="es-419"/>
        </w:rPr>
        <w:t xml:space="preserve"> Se presenta una disminución del -19% con respecto al III trimestre de la vigencia 2019, el cual corresponde al valor dejado de facturar por parte de CODENSA de la vigencia del 2019 y que se encontraba en revisión por parte de CODENSA de los costos generados por los periodos que no facturaron debido al daño de los MEDIDORES de registro de consumo. </w:t>
      </w:r>
    </w:p>
    <w:p w14:paraId="0F4A6D8A" w14:textId="5D815CE6" w:rsidR="00AC6298" w:rsidRPr="008D7963" w:rsidRDefault="00A24187" w:rsidP="00A24187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sz w:val="22"/>
          <w:lang w:val="es-419"/>
        </w:rPr>
        <w:t xml:space="preserve">En el III Trimestre del 2020 se continua con la facturación solo de dos oficinas (402A Y 402B),  Está pendiente de facturar por parte de CODENSA la oficinas 805 y 806 desde el mes de febrero ya que se encuentra el trámite administrativo para realizar un cambio del </w:t>
      </w:r>
      <w:r w:rsidRPr="008D7963">
        <w:rPr>
          <w:rFonts w:cs="Arial"/>
          <w:sz w:val="22"/>
          <w:lang w:val="es-419"/>
        </w:rPr>
        <w:lastRenderedPageBreak/>
        <w:t xml:space="preserve">MEDIDOR de estas dos oficina  por parte de la Administradora del Edificio el cual los propietarios deben autorizar este cambio de equipo, el cual </w:t>
      </w:r>
      <w:r w:rsidR="00DD29F4" w:rsidRPr="008D7963">
        <w:rPr>
          <w:rFonts w:cs="Arial"/>
          <w:sz w:val="22"/>
          <w:lang w:val="es-419"/>
        </w:rPr>
        <w:t>está</w:t>
      </w:r>
      <w:r w:rsidRPr="008D7963">
        <w:rPr>
          <w:rFonts w:cs="Arial"/>
          <w:sz w:val="22"/>
          <w:lang w:val="es-419"/>
        </w:rPr>
        <w:t xml:space="preserve"> pendie</w:t>
      </w:r>
      <w:r w:rsidR="00DD29F4" w:rsidRPr="008D7963">
        <w:rPr>
          <w:rFonts w:cs="Arial"/>
          <w:sz w:val="22"/>
          <w:lang w:val="es-419"/>
        </w:rPr>
        <w:t xml:space="preserve">nte que autorice un </w:t>
      </w:r>
      <w:r w:rsidRPr="008D7963">
        <w:rPr>
          <w:rFonts w:cs="Arial"/>
          <w:sz w:val="22"/>
          <w:lang w:val="es-419"/>
        </w:rPr>
        <w:t xml:space="preserve">propietario de los cinco (5) que deben autorizar </w:t>
      </w:r>
      <w:r w:rsidR="00DD29F4" w:rsidRPr="008D7963">
        <w:rPr>
          <w:rFonts w:cs="Arial"/>
          <w:sz w:val="22"/>
          <w:lang w:val="es-419"/>
        </w:rPr>
        <w:t>información</w:t>
      </w:r>
      <w:r w:rsidRPr="008D7963">
        <w:rPr>
          <w:rFonts w:cs="Arial"/>
          <w:sz w:val="22"/>
          <w:lang w:val="es-419"/>
        </w:rPr>
        <w:t xml:space="preserve"> de la Administradora del CEA.</w:t>
      </w:r>
    </w:p>
    <w:p w14:paraId="1B919844" w14:textId="62538997" w:rsidR="00FF69BC" w:rsidRPr="008D7963" w:rsidRDefault="00FF69BC" w:rsidP="00FF69BC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b/>
          <w:sz w:val="22"/>
          <w:lang w:val="es-419"/>
        </w:rPr>
        <w:t>Telefonía</w:t>
      </w:r>
      <w:r w:rsidR="00A24187" w:rsidRPr="008D7963">
        <w:rPr>
          <w:rFonts w:cs="Arial"/>
          <w:b/>
          <w:sz w:val="22"/>
          <w:lang w:val="es-419"/>
        </w:rPr>
        <w:t xml:space="preserve"> fija:</w:t>
      </w:r>
      <w:r w:rsidR="00A24187" w:rsidRPr="008D7963">
        <w:t xml:space="preserve"> </w:t>
      </w:r>
      <w:r w:rsidRPr="008D7963">
        <w:rPr>
          <w:rFonts w:cs="Arial"/>
          <w:sz w:val="22"/>
          <w:lang w:val="es-419"/>
        </w:rPr>
        <w:t xml:space="preserve">Se observa una disminución del </w:t>
      </w:r>
      <w:r w:rsidR="00985FE5" w:rsidRPr="008D7963">
        <w:rPr>
          <w:rFonts w:cs="Arial"/>
          <w:sz w:val="22"/>
          <w:lang w:val="es-419"/>
        </w:rPr>
        <w:t>-10</w:t>
      </w:r>
      <w:r w:rsidRPr="008D7963">
        <w:rPr>
          <w:rFonts w:cs="Arial"/>
          <w:sz w:val="22"/>
          <w:lang w:val="es-419"/>
        </w:rPr>
        <w:t>% con respecto al II</w:t>
      </w:r>
      <w:r w:rsidR="00985FE5" w:rsidRPr="008D7963">
        <w:rPr>
          <w:rFonts w:cs="Arial"/>
          <w:sz w:val="22"/>
          <w:lang w:val="es-419"/>
        </w:rPr>
        <w:t>I</w:t>
      </w:r>
      <w:r w:rsidRPr="008D7963">
        <w:rPr>
          <w:rFonts w:cs="Arial"/>
          <w:sz w:val="22"/>
          <w:lang w:val="es-419"/>
        </w:rPr>
        <w:t xml:space="preserve"> Trimestre de la vigencia 2019,</w:t>
      </w:r>
    </w:p>
    <w:p w14:paraId="0ADEA2A6" w14:textId="39289EB2" w:rsidR="00A24187" w:rsidRPr="008D7963" w:rsidRDefault="00FF69BC" w:rsidP="00FF69BC">
      <w:pPr>
        <w:pStyle w:val="Textoindependiente"/>
        <w:rPr>
          <w:rFonts w:cs="Arial"/>
          <w:sz w:val="22"/>
          <w:lang w:val="es-419"/>
        </w:rPr>
      </w:pPr>
      <w:r w:rsidRPr="008D7963">
        <w:rPr>
          <w:rFonts w:cs="Arial"/>
          <w:b/>
          <w:sz w:val="22"/>
          <w:lang w:val="es-419"/>
        </w:rPr>
        <w:t>Telefonía</w:t>
      </w:r>
      <w:r w:rsidR="00A24187" w:rsidRPr="008D7963">
        <w:rPr>
          <w:rFonts w:cs="Arial"/>
          <w:b/>
          <w:sz w:val="22"/>
          <w:lang w:val="es-419"/>
        </w:rPr>
        <w:t xml:space="preserve"> </w:t>
      </w:r>
      <w:r w:rsidRPr="008D7963">
        <w:rPr>
          <w:rFonts w:cs="Arial"/>
          <w:b/>
          <w:sz w:val="22"/>
          <w:lang w:val="es-419"/>
        </w:rPr>
        <w:t>Móvil</w:t>
      </w:r>
      <w:r w:rsidR="00A24187" w:rsidRPr="008D7963">
        <w:rPr>
          <w:rFonts w:cs="Arial"/>
          <w:b/>
          <w:sz w:val="22"/>
          <w:lang w:val="es-419"/>
        </w:rPr>
        <w:t>:</w:t>
      </w:r>
      <w:r w:rsidRPr="008D7963">
        <w:t xml:space="preserve"> </w:t>
      </w:r>
      <w:r w:rsidRPr="008D7963">
        <w:rPr>
          <w:rFonts w:cs="Arial"/>
          <w:sz w:val="22"/>
          <w:lang w:val="es-419"/>
        </w:rPr>
        <w:t xml:space="preserve">Se presenta una disminución del </w:t>
      </w:r>
      <w:r w:rsidR="000C76F3" w:rsidRPr="008D7963">
        <w:rPr>
          <w:rFonts w:cs="Arial"/>
          <w:sz w:val="22"/>
          <w:lang w:val="es-419"/>
        </w:rPr>
        <w:t>100</w:t>
      </w:r>
      <w:r w:rsidRPr="008D7963">
        <w:rPr>
          <w:rFonts w:cs="Arial"/>
          <w:sz w:val="22"/>
          <w:lang w:val="es-419"/>
        </w:rPr>
        <w:t>%, que corresponde para la vigencia del 2020, toda vez que como se informó en el I Trimestre, por instrucciones del Subdirector Administrativo, Financiero y de Control Administrativo se solicitó la cancelación de los planes que el Instituto tenia del plan corporativo que tenía con la ETB.</w:t>
      </w:r>
    </w:p>
    <w:p w14:paraId="6C42CDCE" w14:textId="01311A13" w:rsidR="008F6C29" w:rsidRPr="008D7963" w:rsidRDefault="009F5BBE" w:rsidP="00AB17B2">
      <w:pPr>
        <w:pStyle w:val="Sinespaciado"/>
        <w:numPr>
          <w:ilvl w:val="1"/>
          <w:numId w:val="16"/>
        </w:numPr>
        <w:jc w:val="both"/>
        <w:rPr>
          <w:rFonts w:cs="Arial"/>
        </w:rPr>
      </w:pPr>
      <w:r w:rsidRPr="008D7963">
        <w:rPr>
          <w:rFonts w:ascii="Arial" w:hAnsi="Arial" w:cs="Arial"/>
          <w:b/>
        </w:rPr>
        <w:t>Vehículos Oficiales</w:t>
      </w:r>
      <w:r w:rsidR="004A0A0B" w:rsidRPr="008D7963">
        <w:rPr>
          <w:rFonts w:ascii="Arial" w:hAnsi="Arial" w:cs="Arial"/>
          <w:b/>
        </w:rPr>
        <w:t>:</w:t>
      </w:r>
    </w:p>
    <w:p w14:paraId="53C1F383" w14:textId="77777777" w:rsidR="008B1428" w:rsidRPr="008D7963" w:rsidRDefault="008B1428" w:rsidP="008B1428">
      <w:pPr>
        <w:pStyle w:val="Sinespaciado"/>
        <w:ind w:left="1004"/>
        <w:jc w:val="both"/>
        <w:rPr>
          <w:rFonts w:cs="Arial"/>
        </w:rPr>
      </w:pPr>
    </w:p>
    <w:p w14:paraId="7C5C3D63" w14:textId="04BCA94C" w:rsidR="009F5BBE" w:rsidRPr="008D7963" w:rsidRDefault="009F5BBE" w:rsidP="00E85D21">
      <w:pPr>
        <w:rPr>
          <w:rFonts w:cs="Arial"/>
          <w:sz w:val="22"/>
          <w:lang w:val="es-419"/>
        </w:rPr>
      </w:pPr>
      <w:r w:rsidRPr="008D7963">
        <w:rPr>
          <w:rFonts w:cs="Arial"/>
          <w:sz w:val="22"/>
        </w:rPr>
        <w:t>E</w:t>
      </w:r>
      <w:r w:rsidR="00A44DCA" w:rsidRPr="008D7963">
        <w:rPr>
          <w:rFonts w:cs="Arial"/>
          <w:sz w:val="22"/>
        </w:rPr>
        <w:t>l</w:t>
      </w:r>
      <w:r w:rsidRPr="008D7963">
        <w:rPr>
          <w:rFonts w:cs="Arial"/>
          <w:sz w:val="22"/>
        </w:rPr>
        <w:t xml:space="preserve"> parque automotor se encuentra conformado por dos (</w:t>
      </w:r>
      <w:r w:rsidR="00A51223" w:rsidRPr="008D7963">
        <w:rPr>
          <w:rFonts w:cs="Arial"/>
          <w:sz w:val="22"/>
        </w:rPr>
        <w:t>0</w:t>
      </w:r>
      <w:r w:rsidRPr="008D7963">
        <w:rPr>
          <w:rFonts w:cs="Arial"/>
          <w:sz w:val="22"/>
        </w:rPr>
        <w:t>2) vehículos de propiedad de la Entidad</w:t>
      </w:r>
      <w:r w:rsidR="003E0374" w:rsidRPr="008D7963">
        <w:rPr>
          <w:rFonts w:cs="Arial"/>
          <w:sz w:val="22"/>
        </w:rPr>
        <w:t xml:space="preserve">, </w:t>
      </w:r>
      <w:r w:rsidR="00FD7F19" w:rsidRPr="008D7963">
        <w:rPr>
          <w:rFonts w:cs="Arial"/>
          <w:sz w:val="22"/>
        </w:rPr>
        <w:t xml:space="preserve">no se registra pago por este concepto para el </w:t>
      </w:r>
      <w:r w:rsidR="002976E3" w:rsidRPr="008D7963">
        <w:rPr>
          <w:rFonts w:cs="Arial"/>
          <w:sz w:val="22"/>
        </w:rPr>
        <w:t>tercer</w:t>
      </w:r>
      <w:r w:rsidR="00FD7F19" w:rsidRPr="008D7963">
        <w:rPr>
          <w:rFonts w:cs="Arial"/>
          <w:sz w:val="22"/>
        </w:rPr>
        <w:t xml:space="preserve"> trimestre</w:t>
      </w:r>
      <w:r w:rsidR="00985FE5" w:rsidRPr="008D7963">
        <w:rPr>
          <w:rFonts w:cs="Arial"/>
          <w:sz w:val="22"/>
          <w:lang w:val="es-419"/>
        </w:rPr>
        <w:t xml:space="preserve"> la apropiación de $8.250.000 fue </w:t>
      </w:r>
      <w:r w:rsidR="00BA4E31" w:rsidRPr="008D7963">
        <w:rPr>
          <w:rFonts w:cs="Arial"/>
          <w:sz w:val="22"/>
          <w:lang w:val="es-419"/>
        </w:rPr>
        <w:t>disminuida en su totalidad</w:t>
      </w:r>
      <w:r w:rsidR="003C650A" w:rsidRPr="008D7963">
        <w:rPr>
          <w:rFonts w:cs="Arial"/>
          <w:sz w:val="22"/>
          <w:lang w:val="es-419"/>
        </w:rPr>
        <w:t>.</w:t>
      </w:r>
    </w:p>
    <w:p w14:paraId="60695700" w14:textId="56EDB28F" w:rsidR="00E85D21" w:rsidRPr="008D7963" w:rsidRDefault="00E85D21" w:rsidP="00C50844">
      <w:pPr>
        <w:pStyle w:val="Prrafodelista"/>
        <w:numPr>
          <w:ilvl w:val="1"/>
          <w:numId w:val="16"/>
        </w:numPr>
        <w:spacing w:after="160" w:line="259" w:lineRule="auto"/>
        <w:jc w:val="left"/>
        <w:rPr>
          <w:rFonts w:cs="Arial"/>
          <w:sz w:val="22"/>
        </w:rPr>
      </w:pPr>
      <w:r w:rsidRPr="008D7963">
        <w:rPr>
          <w:rFonts w:cs="Arial"/>
          <w:b/>
          <w:bCs/>
          <w:sz w:val="22"/>
        </w:rPr>
        <w:t>Adquisición de vehículos y maquinaria</w:t>
      </w:r>
      <w:r w:rsidRPr="008D7963">
        <w:rPr>
          <w:rFonts w:cs="Arial"/>
          <w:sz w:val="22"/>
        </w:rPr>
        <w:t xml:space="preserve">. </w:t>
      </w:r>
    </w:p>
    <w:p w14:paraId="61A71EDD" w14:textId="4D265289" w:rsidR="00674EF1" w:rsidRPr="008D7963" w:rsidRDefault="00E85D21" w:rsidP="00E85D21">
      <w:pPr>
        <w:spacing w:after="160" w:line="259" w:lineRule="auto"/>
        <w:rPr>
          <w:rFonts w:cs="Arial"/>
          <w:sz w:val="22"/>
        </w:rPr>
      </w:pPr>
      <w:r w:rsidRPr="008D7963">
        <w:rPr>
          <w:rFonts w:cs="Arial"/>
          <w:sz w:val="22"/>
        </w:rPr>
        <w:t>De acuerdo con el Plan Anual de Adquisiciones para la vigencia 2020 de la Entidad, no se programó proceso para la adquisición o reposición de vehículos y/o maquinaria.</w:t>
      </w:r>
    </w:p>
    <w:p w14:paraId="157F38AB" w14:textId="01B345A4" w:rsidR="009B0E02" w:rsidRPr="008D7963" w:rsidRDefault="009B0E02" w:rsidP="009B0E02">
      <w:pPr>
        <w:pStyle w:val="Prrafodelista"/>
        <w:numPr>
          <w:ilvl w:val="1"/>
          <w:numId w:val="16"/>
        </w:numPr>
        <w:spacing w:after="160" w:line="259" w:lineRule="auto"/>
        <w:rPr>
          <w:rFonts w:cs="Arial"/>
          <w:b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</w:rPr>
        <w:t>Derechos de uso de productos de propiedad intelectual y otros productos similares.</w:t>
      </w:r>
    </w:p>
    <w:p w14:paraId="55834D6A" w14:textId="0B3B5365" w:rsidR="005E26D9" w:rsidRPr="008D7963" w:rsidRDefault="005E26D9" w:rsidP="005E26D9">
      <w:pPr>
        <w:spacing w:after="160" w:line="259" w:lineRule="auto"/>
        <w:rPr>
          <w:rFonts w:cs="Arial"/>
          <w:sz w:val="22"/>
          <w:shd w:val="clear" w:color="auto" w:fill="FFFFFF"/>
          <w:lang w:val="es-ES"/>
        </w:rPr>
      </w:pPr>
      <w:r w:rsidRPr="008D7963">
        <w:rPr>
          <w:rFonts w:cs="Arial"/>
          <w:sz w:val="22"/>
          <w:shd w:val="clear" w:color="auto" w:fill="FFFFFF"/>
          <w:lang w:val="es-ES"/>
        </w:rPr>
        <w:t xml:space="preserve">Por este rubro se </w:t>
      </w:r>
      <w:r w:rsidR="00B40CA7" w:rsidRPr="008D7963">
        <w:rPr>
          <w:rFonts w:cs="Arial"/>
          <w:sz w:val="22"/>
          <w:shd w:val="clear" w:color="auto" w:fill="FFFFFF"/>
          <w:lang w:val="es-419"/>
        </w:rPr>
        <w:t xml:space="preserve">pago a </w:t>
      </w:r>
      <w:r w:rsidR="00D21ADA" w:rsidRPr="008D7963">
        <w:rPr>
          <w:rFonts w:cs="Arial"/>
          <w:sz w:val="22"/>
          <w:shd w:val="clear" w:color="auto" w:fill="FFFFFF"/>
          <w:lang w:val="es-419"/>
        </w:rPr>
        <w:t>la</w:t>
      </w:r>
      <w:r w:rsidR="00B40CA7" w:rsidRPr="008D7963">
        <w:rPr>
          <w:rFonts w:cs="Arial"/>
          <w:sz w:val="22"/>
          <w:shd w:val="clear" w:color="auto" w:fill="FFFFFF"/>
          <w:lang w:val="es-419"/>
        </w:rPr>
        <w:t>s</w:t>
      </w:r>
      <w:r w:rsidR="00D21ADA" w:rsidRPr="008D7963">
        <w:rPr>
          <w:rFonts w:cs="Arial"/>
          <w:sz w:val="22"/>
          <w:shd w:val="clear" w:color="auto" w:fill="FFFFFF"/>
          <w:lang w:val="es-419"/>
        </w:rPr>
        <w:t xml:space="preserve"> empresa</w:t>
      </w:r>
      <w:r w:rsidR="00B40CA7" w:rsidRPr="008D7963">
        <w:rPr>
          <w:rFonts w:cs="Arial"/>
          <w:sz w:val="22"/>
          <w:shd w:val="clear" w:color="auto" w:fill="FFFFFF"/>
          <w:lang w:val="es-419"/>
        </w:rPr>
        <w:t>s SOPORTE LOGICO LTDA</w:t>
      </w:r>
      <w:r w:rsidR="00D21ADA" w:rsidRPr="008D7963">
        <w:rPr>
          <w:rFonts w:cs="Arial"/>
          <w:sz w:val="22"/>
          <w:shd w:val="clear" w:color="auto" w:fill="FFFFFF"/>
          <w:lang w:val="es-419"/>
        </w:rPr>
        <w:t xml:space="preserve"> </w:t>
      </w:r>
      <w:r w:rsidRPr="008D7963">
        <w:rPr>
          <w:rFonts w:cs="Arial"/>
          <w:sz w:val="22"/>
          <w:shd w:val="clear" w:color="auto" w:fill="FFFFFF"/>
          <w:lang w:val="es-ES"/>
        </w:rPr>
        <w:t xml:space="preserve"> </w:t>
      </w:r>
      <w:r w:rsidR="00494184" w:rsidRPr="008D7963">
        <w:rPr>
          <w:rFonts w:cs="Arial"/>
          <w:sz w:val="22"/>
          <w:shd w:val="clear" w:color="auto" w:fill="FFFFFF"/>
          <w:lang w:val="es-ES"/>
        </w:rPr>
        <w:t xml:space="preserve">a </w:t>
      </w:r>
      <w:r w:rsidR="00D21ADA" w:rsidRPr="008D7963">
        <w:rPr>
          <w:rFonts w:cs="Arial"/>
          <w:sz w:val="22"/>
          <w:shd w:val="clear" w:color="auto" w:fill="FFFFFF"/>
          <w:lang w:val="es-419"/>
        </w:rPr>
        <w:t xml:space="preserve">GOOBI SAS  </w:t>
      </w:r>
      <w:r w:rsidR="00D21ADA" w:rsidRPr="008D7963">
        <w:rPr>
          <w:rFonts w:cs="Arial"/>
          <w:sz w:val="22"/>
          <w:shd w:val="clear" w:color="auto" w:fill="FFFFFF"/>
          <w:lang w:val="es-ES"/>
        </w:rPr>
        <w:t xml:space="preserve">mantenimiento y soporte </w:t>
      </w:r>
      <w:r w:rsidR="00951B73" w:rsidRPr="008D7963">
        <w:rPr>
          <w:rFonts w:cs="Arial"/>
          <w:sz w:val="22"/>
          <w:shd w:val="clear" w:color="auto" w:fill="FFFFFF"/>
          <w:lang w:val="es-419"/>
        </w:rPr>
        <w:t>al sistema de información Humano</w:t>
      </w:r>
      <w:r w:rsidR="00951B73" w:rsidRPr="008D7963">
        <w:rPr>
          <w:rFonts w:cs="Arial"/>
          <w:sz w:val="22"/>
          <w:shd w:val="clear" w:color="auto" w:fill="FFFFFF"/>
          <w:lang w:val="es-ES"/>
        </w:rPr>
        <w:t xml:space="preserve"> </w:t>
      </w:r>
      <w:r w:rsidR="00951B73" w:rsidRPr="008D7963">
        <w:rPr>
          <w:rFonts w:cs="Arial"/>
          <w:sz w:val="22"/>
          <w:shd w:val="clear" w:color="auto" w:fill="FFFFFF"/>
          <w:lang w:val="es-419"/>
        </w:rPr>
        <w:t>y al</w:t>
      </w:r>
      <w:r w:rsidR="00D21ADA" w:rsidRPr="008D7963">
        <w:rPr>
          <w:rFonts w:cs="Arial"/>
          <w:sz w:val="22"/>
          <w:shd w:val="clear" w:color="auto" w:fill="FFFFFF"/>
          <w:lang w:val="es-ES"/>
        </w:rPr>
        <w:t xml:space="preserve"> sistema de información que soporta la gestión administrativa y financiera del IDEP.</w:t>
      </w:r>
    </w:p>
    <w:tbl>
      <w:tblPr>
        <w:tblW w:w="892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89"/>
        <w:gridCol w:w="1451"/>
        <w:gridCol w:w="1696"/>
        <w:gridCol w:w="1655"/>
      </w:tblGrid>
      <w:tr w:rsidR="00494184" w:rsidRPr="00E913D6" w14:paraId="243CED02" w14:textId="77777777" w:rsidTr="00494184">
        <w:trPr>
          <w:trHeight w:val="26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8999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CONCEPTO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85FB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TERCER TRIMESTRE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A807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 TERCER TRIMESTRE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F713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VAR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685A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VAR %  </w:t>
            </w:r>
          </w:p>
        </w:tc>
      </w:tr>
      <w:tr w:rsidR="00494184" w:rsidRPr="00E913D6" w14:paraId="1B332D88" w14:textId="77777777" w:rsidTr="00494184">
        <w:trPr>
          <w:trHeight w:val="278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D34ED" w14:textId="77777777" w:rsidR="00494184" w:rsidRPr="00E913D6" w:rsidRDefault="00494184" w:rsidP="0049418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41B7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C63F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44A4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ABSOLUTA </w:t>
            </w: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114AD" w14:textId="77777777" w:rsidR="00494184" w:rsidRPr="00E913D6" w:rsidRDefault="00494184" w:rsidP="0049418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4184" w:rsidRPr="00E913D6" w14:paraId="2A9F1B42" w14:textId="77777777" w:rsidTr="00494184">
        <w:trPr>
          <w:trHeight w:val="43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6777A" w14:textId="77777777" w:rsidR="00494184" w:rsidRPr="00E913D6" w:rsidRDefault="00494184" w:rsidP="0049418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color w:val="000000"/>
                <w:sz w:val="16"/>
                <w:szCs w:val="16"/>
              </w:rPr>
              <w:t>Derechos de uso de productos de propiedad intelectual y otros productos similares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3839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color w:val="000000"/>
                <w:sz w:val="16"/>
                <w:szCs w:val="16"/>
              </w:rPr>
              <w:t>25.154.698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9F53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color w:val="000000"/>
                <w:sz w:val="16"/>
                <w:szCs w:val="16"/>
                <w:lang w:val="es-419"/>
              </w:rPr>
              <w:t>15.014.168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0AF9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913D6">
              <w:rPr>
                <w:rFonts w:eastAsia="Times New Roman" w:cs="Arial"/>
                <w:color w:val="000000"/>
                <w:sz w:val="16"/>
                <w:szCs w:val="16"/>
                <w:lang w:val="es-419"/>
              </w:rPr>
              <w:t>10.140.530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5A16F" w14:textId="77777777" w:rsidR="00494184" w:rsidRPr="00E913D6" w:rsidRDefault="00494184" w:rsidP="00494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913D6">
              <w:rPr>
                <w:rFonts w:ascii="Calibri" w:eastAsia="Times New Roman" w:hAnsi="Calibri" w:cs="Times New Roman"/>
                <w:sz w:val="16"/>
                <w:szCs w:val="16"/>
              </w:rPr>
              <w:t>68%</w:t>
            </w:r>
          </w:p>
        </w:tc>
      </w:tr>
    </w:tbl>
    <w:p w14:paraId="38CEB8DA" w14:textId="6B54EE55" w:rsidR="000F0830" w:rsidRPr="008D7963" w:rsidRDefault="008E63C9" w:rsidP="008E63C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4802C02D" w14:textId="1048B9D3" w:rsidR="00DC0228" w:rsidRPr="008D7963" w:rsidRDefault="00DC0228" w:rsidP="00DC0228">
      <w:pPr>
        <w:pStyle w:val="Prrafodelista"/>
        <w:numPr>
          <w:ilvl w:val="1"/>
          <w:numId w:val="16"/>
        </w:numPr>
        <w:spacing w:after="160" w:line="259" w:lineRule="auto"/>
        <w:rPr>
          <w:rFonts w:cs="Arial"/>
          <w:b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  <w:shd w:val="clear" w:color="auto" w:fill="FFFFFF"/>
          <w:lang w:val="es-ES"/>
        </w:rPr>
        <w:t xml:space="preserve">Elementos de consumo. </w:t>
      </w:r>
    </w:p>
    <w:p w14:paraId="2C934F32" w14:textId="77777777" w:rsidR="00DC0228" w:rsidRPr="008D7963" w:rsidRDefault="00DC0228" w:rsidP="00DC0228">
      <w:pPr>
        <w:spacing w:after="160" w:line="259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>Para el trimestre evaluado no se presentó pagos por este concepto.</w:t>
      </w:r>
    </w:p>
    <w:tbl>
      <w:tblPr>
        <w:tblW w:w="8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34"/>
        <w:gridCol w:w="1946"/>
        <w:gridCol w:w="1882"/>
        <w:gridCol w:w="1498"/>
      </w:tblGrid>
      <w:tr w:rsidR="00DC0228" w:rsidRPr="008D7963" w14:paraId="1D139267" w14:textId="77777777" w:rsidTr="00014B19">
        <w:trPr>
          <w:trHeight w:val="31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20AA1" w14:textId="77777777" w:rsidR="00DC0228" w:rsidRPr="008D7963" w:rsidRDefault="00DC0228" w:rsidP="00014B19">
            <w:pPr>
              <w:jc w:val="center"/>
              <w:rPr>
                <w:rFonts w:eastAsia="Times New Roman" w:cs="Arial"/>
                <w:b/>
                <w:bCs/>
                <w:sz w:val="14"/>
                <w:szCs w:val="14"/>
              </w:rPr>
            </w:pPr>
            <w:r w:rsidRPr="008D7963">
              <w:rPr>
                <w:rFonts w:cs="Arial"/>
                <w:b/>
                <w:bCs/>
                <w:sz w:val="14"/>
                <w:szCs w:val="14"/>
              </w:rPr>
              <w:t xml:space="preserve">CONCEPTO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97AF" w14:textId="1BAE6B88" w:rsidR="00DC0228" w:rsidRPr="008D7963" w:rsidRDefault="007D667A" w:rsidP="007D667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7963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D7963">
              <w:rPr>
                <w:rFonts w:cs="Arial"/>
                <w:b/>
                <w:bCs/>
                <w:sz w:val="14"/>
                <w:szCs w:val="14"/>
                <w:lang w:val="es-419"/>
              </w:rPr>
              <w:t>TERCER</w:t>
            </w:r>
            <w:r w:rsidR="00DC0228" w:rsidRPr="008D7963">
              <w:rPr>
                <w:rFonts w:cs="Arial"/>
                <w:b/>
                <w:bCs/>
                <w:sz w:val="14"/>
                <w:szCs w:val="14"/>
              </w:rPr>
              <w:t xml:space="preserve"> TRIMESTRE </w:t>
            </w:r>
            <w:r w:rsidR="00DC0228" w:rsidRPr="008D7963">
              <w:rPr>
                <w:rFonts w:cs="Arial"/>
                <w:b/>
                <w:bCs/>
                <w:sz w:val="14"/>
                <w:szCs w:val="14"/>
              </w:rPr>
              <w:br/>
              <w:t xml:space="preserve">2020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DC35" w14:textId="14AF1764" w:rsidR="00DC0228" w:rsidRPr="008D7963" w:rsidRDefault="00DC0228" w:rsidP="00014B1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7963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="007D667A" w:rsidRPr="008D7963">
              <w:rPr>
                <w:rFonts w:cs="Arial"/>
                <w:b/>
                <w:bCs/>
                <w:sz w:val="14"/>
                <w:szCs w:val="14"/>
                <w:lang w:val="es-419"/>
              </w:rPr>
              <w:t xml:space="preserve">TERCER </w:t>
            </w:r>
            <w:r w:rsidRPr="008D7963">
              <w:rPr>
                <w:rFonts w:cs="Arial"/>
                <w:b/>
                <w:bCs/>
                <w:sz w:val="14"/>
                <w:szCs w:val="14"/>
              </w:rPr>
              <w:t xml:space="preserve">TRIMESTRE </w:t>
            </w:r>
            <w:r w:rsidRPr="008D7963">
              <w:rPr>
                <w:rFonts w:cs="Arial"/>
                <w:b/>
                <w:bCs/>
                <w:sz w:val="14"/>
                <w:szCs w:val="14"/>
              </w:rPr>
              <w:br/>
              <w:t xml:space="preserve">2019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5A99B" w14:textId="77777777" w:rsidR="00DC0228" w:rsidRPr="008D7963" w:rsidRDefault="00DC0228" w:rsidP="00014B1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7963">
              <w:rPr>
                <w:rFonts w:cs="Arial"/>
                <w:b/>
                <w:bCs/>
                <w:sz w:val="14"/>
                <w:szCs w:val="14"/>
              </w:rPr>
              <w:t>VAR</w:t>
            </w:r>
            <w:r w:rsidRPr="008D7963">
              <w:rPr>
                <w:rFonts w:cs="Arial"/>
                <w:b/>
                <w:bCs/>
                <w:sz w:val="14"/>
                <w:szCs w:val="14"/>
              </w:rPr>
              <w:br/>
              <w:t xml:space="preserve">ABSOLUTA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87CAC" w14:textId="77777777" w:rsidR="00DC0228" w:rsidRPr="008D7963" w:rsidRDefault="00DC0228" w:rsidP="00014B19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7963">
              <w:rPr>
                <w:rFonts w:cs="Arial"/>
                <w:b/>
                <w:bCs/>
                <w:sz w:val="14"/>
                <w:szCs w:val="14"/>
              </w:rPr>
              <w:t>VAR %</w:t>
            </w:r>
            <w:r w:rsidRPr="008D7963">
              <w:rPr>
                <w:rFonts w:cs="Arial"/>
                <w:b/>
                <w:bCs/>
                <w:sz w:val="14"/>
                <w:szCs w:val="14"/>
              </w:rPr>
              <w:br/>
            </w:r>
          </w:p>
        </w:tc>
      </w:tr>
      <w:tr w:rsidR="00DC0228" w:rsidRPr="008D7963" w14:paraId="4FD596E9" w14:textId="77777777" w:rsidTr="00014B19">
        <w:trPr>
          <w:trHeight w:val="871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2A93" w14:textId="77777777" w:rsidR="00DC0228" w:rsidRPr="008D7963" w:rsidRDefault="00DC0228" w:rsidP="00014B19">
            <w:pPr>
              <w:jc w:val="left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>Pasta o pulpa, papel y productos de papel (papelería, útiles de escritorio, tóner)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202DF" w14:textId="77777777" w:rsidR="00DC0228" w:rsidRPr="008D7963" w:rsidRDefault="00DC0228" w:rsidP="00014B19">
            <w:pPr>
              <w:jc w:val="center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50B11" w14:textId="609A8027" w:rsidR="00DC0228" w:rsidRPr="008D7963" w:rsidRDefault="007D667A" w:rsidP="00014B19">
            <w:pPr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D7963">
              <w:rPr>
                <w:rFonts w:cs="Arial"/>
                <w:sz w:val="16"/>
                <w:szCs w:val="16"/>
                <w:lang w:val="es-419"/>
              </w:rPr>
              <w:t>60.000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4DC9" w14:textId="77777777" w:rsidR="00DC0228" w:rsidRPr="008D7963" w:rsidRDefault="00DC0228" w:rsidP="00014B19">
            <w:pPr>
              <w:jc w:val="center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30438" w14:textId="77777777" w:rsidR="00DC0228" w:rsidRPr="008D7963" w:rsidRDefault="00DC0228" w:rsidP="00014B19">
            <w:pPr>
              <w:jc w:val="center"/>
              <w:rPr>
                <w:rFonts w:cs="Arial"/>
                <w:sz w:val="16"/>
                <w:szCs w:val="16"/>
              </w:rPr>
            </w:pPr>
            <w:r w:rsidRPr="008D7963">
              <w:rPr>
                <w:rFonts w:cs="Arial"/>
                <w:sz w:val="16"/>
                <w:szCs w:val="16"/>
              </w:rPr>
              <w:t>0%</w:t>
            </w:r>
          </w:p>
        </w:tc>
      </w:tr>
    </w:tbl>
    <w:p w14:paraId="500B35D2" w14:textId="79734449" w:rsidR="00DC0228" w:rsidRPr="008D7963" w:rsidRDefault="00DC0228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758E48DD" w14:textId="77777777" w:rsidR="000F0830" w:rsidRPr="008D7963" w:rsidRDefault="000F0830" w:rsidP="00DC0228">
      <w:pPr>
        <w:pStyle w:val="Textoindependiente"/>
        <w:spacing w:line="240" w:lineRule="atLeast"/>
        <w:rPr>
          <w:rFonts w:cs="Arial"/>
          <w:iCs/>
          <w:sz w:val="22"/>
        </w:rPr>
      </w:pPr>
    </w:p>
    <w:p w14:paraId="6D966640" w14:textId="535E73B5" w:rsidR="00AB1558" w:rsidRPr="008D7963" w:rsidRDefault="004C3321" w:rsidP="00DC0228">
      <w:pPr>
        <w:pStyle w:val="Textoindependiente"/>
        <w:spacing w:line="240" w:lineRule="atLeast"/>
        <w:rPr>
          <w:rFonts w:cs="Arial"/>
          <w:iCs/>
          <w:sz w:val="22"/>
        </w:rPr>
      </w:pPr>
      <w:r w:rsidRPr="008D7963">
        <w:rPr>
          <w:rFonts w:cs="Arial"/>
          <w:iCs/>
          <w:sz w:val="22"/>
        </w:rPr>
        <w:t>El 24 de septiembre de 2020 se contrató con REDJURISTAS SAS la Suscripción al servicio de información jurídica y contable, consulta web y biblioteca digital de conceptos, jurisprudencia, doctrina y legislación colombiana actualizada No se ha realizado pago en el tercer trimestre de 2020</w:t>
      </w:r>
      <w:r w:rsidR="00AB1558" w:rsidRPr="008D7963">
        <w:rPr>
          <w:rFonts w:cs="Arial"/>
          <w:iCs/>
          <w:sz w:val="22"/>
        </w:rPr>
        <w:t>.</w:t>
      </w:r>
    </w:p>
    <w:p w14:paraId="7BCCAB8F" w14:textId="77777777" w:rsidR="00BC557D" w:rsidRPr="008D7963" w:rsidRDefault="00BC557D" w:rsidP="00DC0228">
      <w:pPr>
        <w:pStyle w:val="Textoindependiente"/>
        <w:spacing w:line="240" w:lineRule="atLeast"/>
        <w:rPr>
          <w:rFonts w:cs="Arial"/>
          <w:iCs/>
          <w:sz w:val="22"/>
        </w:rPr>
      </w:pPr>
    </w:p>
    <w:p w14:paraId="19986738" w14:textId="77777777" w:rsidR="00DC0228" w:rsidRPr="008D7963" w:rsidRDefault="00DC0228" w:rsidP="00DC0228">
      <w:pPr>
        <w:pStyle w:val="Prrafodelista"/>
        <w:numPr>
          <w:ilvl w:val="1"/>
          <w:numId w:val="16"/>
        </w:numPr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</w:rPr>
        <w:t>Servicio de arrendamiento.</w:t>
      </w:r>
    </w:p>
    <w:tbl>
      <w:tblPr>
        <w:tblW w:w="895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1880"/>
        <w:gridCol w:w="1533"/>
        <w:gridCol w:w="2230"/>
        <w:gridCol w:w="1564"/>
      </w:tblGrid>
      <w:tr w:rsidR="007D667A" w:rsidRPr="008D7963" w14:paraId="59694DAE" w14:textId="77777777" w:rsidTr="000F0830">
        <w:trPr>
          <w:trHeight w:val="387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1A7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CONCEPTO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83A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TRIMESTRE 2020 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0367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 TERCER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TRIMESTRE 2019 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84F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>VAR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 xml:space="preserve">ABSOLUTA RESPECTO AL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TRIMESTRE  ANTERIOR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57AC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t xml:space="preserve">VAR %  RESPECTO </w:t>
            </w:r>
            <w:r w:rsidRPr="008D7963">
              <w:rPr>
                <w:rFonts w:eastAsia="Times New Roman" w:cs="Arial"/>
                <w:b/>
                <w:bCs/>
                <w:sz w:val="16"/>
                <w:szCs w:val="16"/>
                <w:lang w:val="es-ES" w:eastAsia="es-ES"/>
              </w:rPr>
              <w:br/>
              <w:t>AL TRIMESTRE ANTERIOR</w:t>
            </w:r>
          </w:p>
        </w:tc>
      </w:tr>
      <w:tr w:rsidR="007D667A" w:rsidRPr="008D7963" w14:paraId="28482932" w14:textId="77777777" w:rsidTr="007D667A">
        <w:trPr>
          <w:trHeight w:val="46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24" w14:textId="77777777" w:rsidR="007D667A" w:rsidRPr="008D7963" w:rsidRDefault="007D667A" w:rsidP="007D667A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>Servicio de arrendamiento de bienes inmuebles a comisión o por contrata (arrendamiento y administración)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F42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118,291,771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FDE6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  <w:t xml:space="preserve">           113,515,908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3FDD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 xml:space="preserve">          4,775,863.00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DCED" w14:textId="77777777" w:rsidR="007D667A" w:rsidRPr="008D7963" w:rsidRDefault="007D667A" w:rsidP="007D667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sz w:val="16"/>
                <w:szCs w:val="16"/>
                <w:lang w:val="es-ES" w:eastAsia="es-ES"/>
              </w:rPr>
              <w:t>4%</w:t>
            </w:r>
          </w:p>
        </w:tc>
      </w:tr>
    </w:tbl>
    <w:p w14:paraId="4047DDD7" w14:textId="77777777" w:rsidR="00DC0228" w:rsidRPr="008D7963" w:rsidRDefault="00DC0228" w:rsidP="00DC022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3F435ACB" w14:textId="69015FE0" w:rsidR="007D667A" w:rsidRPr="008D7963" w:rsidRDefault="004C6ADF" w:rsidP="00DC0228">
      <w:pPr>
        <w:pStyle w:val="Textoindependiente"/>
        <w:spacing w:line="240" w:lineRule="atLeast"/>
        <w:rPr>
          <w:rFonts w:cs="Arial"/>
          <w:iCs/>
          <w:sz w:val="22"/>
          <w:lang w:val="es-419"/>
        </w:rPr>
      </w:pPr>
      <w:r w:rsidRPr="008D7963">
        <w:rPr>
          <w:rFonts w:cs="Arial"/>
          <w:iCs/>
          <w:sz w:val="22"/>
          <w:lang w:val="es-419"/>
        </w:rPr>
        <w:t>Para el año 2020 se presenta un incremento del 4% en el servicio de arrendamiento y administración</w:t>
      </w:r>
    </w:p>
    <w:p w14:paraId="7CCC6319" w14:textId="4B2FF0CB" w:rsidR="00DC0228" w:rsidRPr="008D7963" w:rsidRDefault="009B0E02" w:rsidP="009B0E02">
      <w:pPr>
        <w:pStyle w:val="Prrafodelista"/>
        <w:numPr>
          <w:ilvl w:val="1"/>
          <w:numId w:val="16"/>
        </w:numPr>
        <w:spacing w:after="160" w:line="259" w:lineRule="auto"/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</w:rPr>
        <w:t xml:space="preserve">Servicio de transporte </w:t>
      </w:r>
      <w:r w:rsidR="007A61C3" w:rsidRPr="008D7963">
        <w:rPr>
          <w:rFonts w:cs="Arial"/>
          <w:b/>
          <w:bCs/>
          <w:sz w:val="22"/>
          <w:lang w:val="es-419"/>
        </w:rPr>
        <w:t>de pasajeros</w:t>
      </w:r>
    </w:p>
    <w:p w14:paraId="64C83A99" w14:textId="3DF60EBB" w:rsidR="005E26D9" w:rsidRPr="008D7963" w:rsidRDefault="005E26D9" w:rsidP="005E26D9">
      <w:pPr>
        <w:spacing w:after="160" w:line="259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>Para el trimestre evaluado se presentó pagos por este concepto</w:t>
      </w:r>
      <w:r w:rsidR="008B1428" w:rsidRPr="008D7963">
        <w:rPr>
          <w:rFonts w:cs="Arial"/>
          <w:bCs/>
          <w:sz w:val="22"/>
          <w:shd w:val="clear" w:color="auto" w:fill="FFFFFF"/>
          <w:lang w:val="es-ES"/>
        </w:rPr>
        <w:t xml:space="preserve"> por caja menor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.</w:t>
      </w:r>
    </w:p>
    <w:tbl>
      <w:tblPr>
        <w:tblW w:w="929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1446"/>
        <w:gridCol w:w="1596"/>
        <w:gridCol w:w="1615"/>
        <w:gridCol w:w="2292"/>
      </w:tblGrid>
      <w:tr w:rsidR="007A61C3" w:rsidRPr="008D7963" w14:paraId="36DFD2DD" w14:textId="77777777" w:rsidTr="00006D3E">
        <w:trPr>
          <w:trHeight w:val="439"/>
        </w:trPr>
        <w:tc>
          <w:tcPr>
            <w:tcW w:w="2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0DE3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CONCEPTO 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A743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TERCER TRIMESTRE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A177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TERCER TRIMESTRE  2019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09E7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VAR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BB2F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VAR %  </w:t>
            </w:r>
          </w:p>
        </w:tc>
      </w:tr>
      <w:tr w:rsidR="007A61C3" w:rsidRPr="008D7963" w14:paraId="394C57F0" w14:textId="77777777" w:rsidTr="00006D3E">
        <w:trPr>
          <w:trHeight w:val="307"/>
        </w:trPr>
        <w:tc>
          <w:tcPr>
            <w:tcW w:w="2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94B7E" w14:textId="77777777" w:rsidR="007A61C3" w:rsidRPr="008D7963" w:rsidRDefault="007A61C3" w:rsidP="007A61C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E721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2020</w:t>
            </w: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CCC55" w14:textId="77777777" w:rsidR="007A61C3" w:rsidRPr="008D7963" w:rsidRDefault="007A61C3" w:rsidP="007A61C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AF93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ABSOLUTA </w:t>
            </w: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753F3" w14:textId="77777777" w:rsidR="007A61C3" w:rsidRPr="008D7963" w:rsidRDefault="007A61C3" w:rsidP="007A61C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7A61C3" w:rsidRPr="008D7963" w14:paraId="296ED2FB" w14:textId="77777777" w:rsidTr="00006D3E">
        <w:trPr>
          <w:trHeight w:val="454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5C2E" w14:textId="77777777" w:rsidR="007A61C3" w:rsidRPr="008D7963" w:rsidRDefault="007A61C3" w:rsidP="007A61C3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Servicios de transporte de pasajeros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B2587" w14:textId="77777777" w:rsidR="007A61C3" w:rsidRPr="008D7963" w:rsidRDefault="007A61C3" w:rsidP="007A61C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                 162,374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B9D90" w14:textId="2AC73EE2" w:rsidR="007A61C3" w:rsidRPr="008D7963" w:rsidRDefault="007A61C3" w:rsidP="008B14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s-ES" w:eastAsia="es-ES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                     </w:t>
            </w:r>
            <w:r w:rsidR="008B1428" w:rsidRPr="008D7963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445.700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57FB" w14:textId="1E3BDC97" w:rsidR="007A61C3" w:rsidRPr="008D7963" w:rsidRDefault="008B1428" w:rsidP="008B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</w:pPr>
            <w:r w:rsidRPr="008D7963"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  <w:t>283.326</w:t>
            </w:r>
            <w:r w:rsidR="007A61C3" w:rsidRPr="008D7963"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  <w:t xml:space="preserve">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1AA4" w14:textId="51DEBCE4" w:rsidR="007A61C3" w:rsidRPr="008D7963" w:rsidRDefault="007A61C3" w:rsidP="008B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</w:pPr>
            <w:r w:rsidRPr="008D7963"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  <w:t>-</w:t>
            </w:r>
            <w:r w:rsidR="008B1428" w:rsidRPr="008D7963"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  <w:t>64</w:t>
            </w:r>
            <w:r w:rsidRPr="008D7963">
              <w:rPr>
                <w:rFonts w:ascii="Calibri" w:eastAsia="Times New Roman" w:hAnsi="Calibri" w:cs="Times New Roman"/>
                <w:sz w:val="16"/>
                <w:szCs w:val="16"/>
                <w:lang w:val="es-ES" w:eastAsia="es-ES"/>
              </w:rPr>
              <w:t>%</w:t>
            </w:r>
          </w:p>
        </w:tc>
      </w:tr>
    </w:tbl>
    <w:p w14:paraId="502D0268" w14:textId="3051D157" w:rsidR="005E26D9" w:rsidRPr="008D7963" w:rsidRDefault="009B0E02" w:rsidP="00006D3E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4DD8C0C9" w14:textId="699309B5" w:rsidR="000F0830" w:rsidRPr="008D7963" w:rsidRDefault="000F0830">
      <w:pPr>
        <w:jc w:val="left"/>
        <w:rPr>
          <w:rFonts w:cs="Arial"/>
          <w:color w:val="FF0000"/>
          <w:sz w:val="22"/>
        </w:rPr>
      </w:pPr>
    </w:p>
    <w:p w14:paraId="2FC00260" w14:textId="4503E723" w:rsidR="00E85D21" w:rsidRPr="008D7963" w:rsidRDefault="00E85D21" w:rsidP="00C50844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  <w:shd w:val="clear" w:color="auto" w:fill="FFFFFF"/>
          <w:lang w:val="es-ES"/>
        </w:rPr>
        <w:t>Fotocopias, multicopiado e impresión</w:t>
      </w:r>
      <w:r w:rsidR="00FD7F19" w:rsidRPr="008D7963">
        <w:rPr>
          <w:rFonts w:cs="Arial"/>
          <w:b/>
          <w:bCs/>
          <w:sz w:val="22"/>
          <w:shd w:val="clear" w:color="auto" w:fill="FFFFFF"/>
          <w:lang w:val="es-ES"/>
        </w:rPr>
        <w:t>:</w:t>
      </w:r>
    </w:p>
    <w:p w14:paraId="3C4B7A00" w14:textId="369431AF" w:rsidR="00287A4E" w:rsidRPr="008D7963" w:rsidRDefault="00287A4E" w:rsidP="00E85D21">
      <w:pPr>
        <w:spacing w:after="0" w:line="240" w:lineRule="auto"/>
        <w:rPr>
          <w:rFonts w:cs="Arial"/>
          <w:b/>
          <w:bCs/>
          <w:szCs w:val="24"/>
          <w:shd w:val="clear" w:color="auto" w:fill="FFFFFF"/>
          <w:lang w:val="es-ES"/>
        </w:rPr>
      </w:pPr>
    </w:p>
    <w:tbl>
      <w:tblPr>
        <w:tblW w:w="86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501"/>
        <w:gridCol w:w="1852"/>
        <w:gridCol w:w="2489"/>
        <w:gridCol w:w="1501"/>
      </w:tblGrid>
      <w:tr w:rsidR="00562087" w:rsidRPr="008D7963" w14:paraId="7EDB6FD3" w14:textId="77777777" w:rsidTr="00562087">
        <w:trPr>
          <w:trHeight w:val="302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98EBC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CONCEPTO 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5B46A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7127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CFFE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321F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 %  RESPECTO</w:t>
            </w:r>
          </w:p>
        </w:tc>
      </w:tr>
      <w:tr w:rsidR="00562087" w:rsidRPr="008D7963" w14:paraId="0D5EC2DE" w14:textId="77777777" w:rsidTr="00562087">
        <w:trPr>
          <w:trHeight w:val="453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E318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DE9D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TRIMESTRE 2020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1641A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TRIMESTRE</w:t>
            </w: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br/>
              <w:t xml:space="preserve"> 2019 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A28B6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ABSOLUTA RESPECTO AL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8C448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AL TRIMESTRE ANTERIOR</w:t>
            </w:r>
          </w:p>
        </w:tc>
      </w:tr>
      <w:tr w:rsidR="00562087" w:rsidRPr="008D7963" w14:paraId="6034A497" w14:textId="77777777" w:rsidTr="00562087">
        <w:trPr>
          <w:trHeight w:val="312"/>
        </w:trPr>
        <w:tc>
          <w:tcPr>
            <w:tcW w:w="1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687C8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3C1ED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35267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D00D3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TRIMESTRE  ANTERIOR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57C77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562087" w:rsidRPr="008D7963" w14:paraId="3500BEAB" w14:textId="77777777" w:rsidTr="00562087">
        <w:trPr>
          <w:trHeight w:val="31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B1A02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Servicios de impresión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1A0CE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           295.565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F620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              2.134.015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3B2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8D7963">
              <w:rPr>
                <w:rFonts w:ascii="Calibri" w:eastAsia="Times New Roman" w:hAnsi="Calibri" w:cs="Times New Roman"/>
                <w:sz w:val="22"/>
              </w:rPr>
              <w:t xml:space="preserve">-         1.838.450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F4B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8D7963">
              <w:rPr>
                <w:rFonts w:ascii="Calibri" w:eastAsia="Times New Roman" w:hAnsi="Calibri" w:cs="Times New Roman"/>
                <w:sz w:val="22"/>
              </w:rPr>
              <w:t>-86%</w:t>
            </w:r>
          </w:p>
        </w:tc>
      </w:tr>
    </w:tbl>
    <w:p w14:paraId="3655F666" w14:textId="1D2819D8" w:rsidR="00006D3E" w:rsidRPr="008D7963" w:rsidRDefault="00674EF1" w:rsidP="00562087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>Subdirección Administrativa y Financiera – Ordenes de pago</w:t>
      </w:r>
      <w:r w:rsidR="00562087" w:rsidRPr="008D7963">
        <w:rPr>
          <w:rFonts w:cs="Arial"/>
          <w:i/>
          <w:iCs/>
          <w:sz w:val="16"/>
          <w:szCs w:val="16"/>
        </w:rPr>
        <w:t xml:space="preserve"> por rubro presupuestal GOOBI. </w:t>
      </w:r>
    </w:p>
    <w:p w14:paraId="0B9B8111" w14:textId="77777777" w:rsidR="000F0830" w:rsidRPr="008D7963" w:rsidRDefault="000F0830" w:rsidP="00E85D21">
      <w:pPr>
        <w:spacing w:after="0" w:line="240" w:lineRule="auto"/>
        <w:rPr>
          <w:rFonts w:cs="Arial"/>
          <w:bCs/>
          <w:sz w:val="22"/>
          <w:shd w:val="clear" w:color="auto" w:fill="FFFFFF"/>
          <w:lang w:val="es-419"/>
        </w:rPr>
      </w:pPr>
    </w:p>
    <w:p w14:paraId="6E42DEB0" w14:textId="601984E9" w:rsidR="00287A4E" w:rsidRPr="008D7963" w:rsidRDefault="00006D3E" w:rsidP="00E85D21">
      <w:pPr>
        <w:spacing w:after="0" w:line="240" w:lineRule="auto"/>
        <w:rPr>
          <w:rFonts w:cs="Arial"/>
          <w:bCs/>
          <w:sz w:val="22"/>
          <w:shd w:val="clear" w:color="auto" w:fill="FFFFFF"/>
          <w:lang w:val="es-419"/>
        </w:rPr>
      </w:pPr>
      <w:r w:rsidRPr="008D7963">
        <w:rPr>
          <w:rFonts w:cs="Arial"/>
          <w:bCs/>
          <w:sz w:val="22"/>
          <w:shd w:val="clear" w:color="auto" w:fill="FFFFFF"/>
          <w:lang w:val="es-419"/>
        </w:rPr>
        <w:t xml:space="preserve">Se registra una disminución del 86% en el servicio de impresión </w:t>
      </w:r>
      <w:r w:rsidR="004C3321" w:rsidRPr="008D7963">
        <w:rPr>
          <w:rFonts w:cs="Arial"/>
          <w:bCs/>
          <w:sz w:val="22"/>
          <w:shd w:val="clear" w:color="auto" w:fill="FFFFFF"/>
          <w:lang w:val="es-ES"/>
        </w:rPr>
        <w:t>t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eniendo en cuenta que desde el 13 de marzo del 2020 se </w:t>
      </w:r>
      <w:r w:rsidR="000F0830" w:rsidRPr="008D7963">
        <w:rPr>
          <w:rFonts w:cs="Arial"/>
          <w:bCs/>
          <w:sz w:val="22"/>
          <w:shd w:val="clear" w:color="auto" w:fill="FFFFFF"/>
          <w:lang w:val="es-ES"/>
        </w:rPr>
        <w:t>inició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 una </w:t>
      </w:r>
      <w:r w:rsidRPr="008D7963">
        <w:rPr>
          <w:rFonts w:cs="Arial"/>
          <w:bCs/>
          <w:sz w:val="22"/>
          <w:shd w:val="clear" w:color="auto" w:fill="FFFFFF"/>
          <w:lang w:val="es-419"/>
        </w:rPr>
        <w:t xml:space="preserve">cuarentena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Pedagogía y posteriormente a una </w:t>
      </w:r>
      <w:r w:rsidRPr="008D7963">
        <w:rPr>
          <w:rFonts w:cs="Arial"/>
          <w:bCs/>
          <w:sz w:val="22"/>
          <w:shd w:val="clear" w:color="auto" w:fill="FFFFFF"/>
          <w:lang w:val="es-ES"/>
        </w:rPr>
        <w:lastRenderedPageBreak/>
        <w:t>cuarentena obligatoria por la pandemia que se viene atravesando del COVID 19 a nivel mundial, la entidad opto por el teletrabajo</w:t>
      </w:r>
      <w:r w:rsidRPr="008D7963">
        <w:rPr>
          <w:rFonts w:cs="Arial"/>
          <w:bCs/>
          <w:sz w:val="22"/>
          <w:shd w:val="clear" w:color="auto" w:fill="FFFFFF"/>
          <w:lang w:val="es-419"/>
        </w:rPr>
        <w:t>.</w:t>
      </w:r>
    </w:p>
    <w:p w14:paraId="41CDD0E2" w14:textId="77777777" w:rsidR="00006D3E" w:rsidRPr="008D7963" w:rsidRDefault="00006D3E" w:rsidP="00E85D21">
      <w:pPr>
        <w:spacing w:after="0" w:line="240" w:lineRule="auto"/>
        <w:rPr>
          <w:rFonts w:cs="Arial"/>
          <w:b/>
          <w:bCs/>
          <w:shd w:val="clear" w:color="auto" w:fill="FFFFFF"/>
          <w:lang w:val="es-ES"/>
        </w:rPr>
      </w:pPr>
    </w:p>
    <w:p w14:paraId="36D015C8" w14:textId="18CB91F9" w:rsidR="00E85D21" w:rsidRPr="008D7963" w:rsidRDefault="00E85D21" w:rsidP="00DB5678">
      <w:pPr>
        <w:pStyle w:val="Prrafodelista"/>
        <w:numPr>
          <w:ilvl w:val="1"/>
          <w:numId w:val="16"/>
        </w:numPr>
        <w:spacing w:after="0" w:line="240" w:lineRule="auto"/>
        <w:rPr>
          <w:rFonts w:cs="Arial"/>
          <w:b/>
          <w:bCs/>
          <w:sz w:val="22"/>
          <w:shd w:val="clear" w:color="auto" w:fill="FFFFFF"/>
          <w:lang w:val="es-ES"/>
        </w:rPr>
      </w:pPr>
      <w:r w:rsidRPr="008D7963">
        <w:rPr>
          <w:rFonts w:cs="Arial"/>
          <w:b/>
          <w:bCs/>
          <w:sz w:val="22"/>
          <w:shd w:val="clear" w:color="auto" w:fill="FFFFFF"/>
          <w:lang w:val="es-ES"/>
        </w:rPr>
        <w:t>Fotocopiado a particulares</w:t>
      </w:r>
      <w:r w:rsidR="00AD7FFA" w:rsidRPr="008D7963">
        <w:rPr>
          <w:rFonts w:cs="Arial"/>
          <w:b/>
          <w:bCs/>
          <w:sz w:val="22"/>
          <w:shd w:val="clear" w:color="auto" w:fill="FFFFFF"/>
          <w:lang w:val="es-ES"/>
        </w:rPr>
        <w:t>.</w:t>
      </w:r>
      <w:r w:rsidRPr="008D7963">
        <w:rPr>
          <w:rFonts w:cs="Arial"/>
          <w:b/>
          <w:bCs/>
          <w:sz w:val="22"/>
          <w:shd w:val="clear" w:color="auto" w:fill="FFFFFF"/>
          <w:lang w:val="es-ES"/>
        </w:rPr>
        <w:t xml:space="preserve"> </w:t>
      </w:r>
    </w:p>
    <w:p w14:paraId="1962FFC0" w14:textId="77777777" w:rsidR="00287A4E" w:rsidRPr="008D7963" w:rsidRDefault="00287A4E" w:rsidP="00287A4E">
      <w:pPr>
        <w:spacing w:after="0" w:line="240" w:lineRule="auto"/>
        <w:rPr>
          <w:rFonts w:cs="Arial"/>
          <w:b/>
          <w:bCs/>
          <w:sz w:val="22"/>
          <w:shd w:val="clear" w:color="auto" w:fill="FFFFFF"/>
          <w:lang w:val="es-ES"/>
        </w:rPr>
      </w:pPr>
    </w:p>
    <w:p w14:paraId="3D0B2222" w14:textId="5F10632B" w:rsidR="00E85D21" w:rsidRPr="008D7963" w:rsidRDefault="00CE277F" w:rsidP="00CE277F">
      <w:pPr>
        <w:spacing w:after="160" w:line="259" w:lineRule="auto"/>
        <w:rPr>
          <w:rFonts w:cs="Arial"/>
          <w:bCs/>
          <w:sz w:val="22"/>
          <w:shd w:val="clear" w:color="auto" w:fill="FFFFFF"/>
          <w:lang w:val="es-ES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La </w:t>
      </w:r>
      <w:r w:rsidR="00287A4E" w:rsidRPr="008D7963">
        <w:rPr>
          <w:rFonts w:cs="Arial"/>
          <w:bCs/>
          <w:sz w:val="22"/>
          <w:shd w:val="clear" w:color="auto" w:fill="FFFFFF"/>
          <w:lang w:val="es-ES"/>
        </w:rPr>
        <w:t xml:space="preserve">Resolución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I</w:t>
      </w:r>
      <w:r w:rsidR="00287A4E" w:rsidRPr="008D7963">
        <w:rPr>
          <w:rFonts w:cs="Arial"/>
          <w:bCs/>
          <w:sz w:val="22"/>
          <w:shd w:val="clear" w:color="auto" w:fill="FFFFFF"/>
          <w:lang w:val="es-ES"/>
        </w:rPr>
        <w:t xml:space="preserve">nterna 163 de 2016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fijó </w:t>
      </w:r>
      <w:r w:rsidR="00287A4E" w:rsidRPr="008D7963">
        <w:rPr>
          <w:rFonts w:cs="Arial"/>
          <w:bCs/>
          <w:sz w:val="22"/>
          <w:shd w:val="clear" w:color="auto" w:fill="FFFFFF"/>
          <w:lang w:val="es-ES"/>
        </w:rPr>
        <w:t xml:space="preserve">los costos de reproducción de los diferentes medios a través de los cuales se suministra información o documentos al público en el IDEP, el cual en su artículo segundo refiere que el valor a pagar por cada impresión o copia será reajustado a partir del primero de enero de cada año, de acuerdo </w:t>
      </w: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con el </w:t>
      </w:r>
      <w:r w:rsidR="00287A4E" w:rsidRPr="008D7963">
        <w:rPr>
          <w:rFonts w:cs="Arial"/>
          <w:bCs/>
          <w:sz w:val="22"/>
          <w:shd w:val="clear" w:color="auto" w:fill="FFFFFF"/>
          <w:lang w:val="es-ES"/>
        </w:rPr>
        <w:t>IPC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.</w:t>
      </w:r>
    </w:p>
    <w:p w14:paraId="633BF090" w14:textId="77777777" w:rsidR="00DC0228" w:rsidRPr="008D7963" w:rsidRDefault="00DC0228" w:rsidP="00DC0228">
      <w:pPr>
        <w:pStyle w:val="Prrafodelista"/>
        <w:numPr>
          <w:ilvl w:val="1"/>
          <w:numId w:val="16"/>
        </w:numPr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  <w:shd w:val="clear" w:color="auto" w:fill="FFFFFF"/>
        </w:rPr>
        <w:t>Edición, impresión, reproducción, publicación de avisos.</w:t>
      </w:r>
    </w:p>
    <w:p w14:paraId="0D88B4EF" w14:textId="77777777" w:rsidR="00DC0228" w:rsidRPr="008D7963" w:rsidRDefault="00DC0228" w:rsidP="00DC0228">
      <w:pPr>
        <w:rPr>
          <w:rFonts w:cs="Arial"/>
          <w:sz w:val="22"/>
        </w:rPr>
      </w:pPr>
      <w:r w:rsidRPr="008D7963">
        <w:rPr>
          <w:rFonts w:cs="Arial"/>
          <w:sz w:val="22"/>
        </w:rPr>
        <w:t>Durante el periodo evaluado no se presentan pagos por este concepto.</w:t>
      </w:r>
    </w:p>
    <w:p w14:paraId="6188CE82" w14:textId="77777777" w:rsidR="00DC0228" w:rsidRPr="008D7963" w:rsidRDefault="00DC0228" w:rsidP="00DC0228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sz w:val="22"/>
          <w:lang w:val="es-ES"/>
        </w:rPr>
      </w:pPr>
      <w:r w:rsidRPr="008D7963">
        <w:rPr>
          <w:rFonts w:eastAsia="Times New Roman" w:cs="Arial"/>
          <w:b/>
          <w:bCs/>
          <w:sz w:val="22"/>
          <w:lang w:val="es-ES"/>
        </w:rPr>
        <w:t>Suscripciones. </w:t>
      </w:r>
    </w:p>
    <w:p w14:paraId="24240269" w14:textId="77777777" w:rsidR="00282730" w:rsidRPr="008D7963" w:rsidRDefault="00282730" w:rsidP="00DC0228">
      <w:pPr>
        <w:pStyle w:val="Prrafodelista"/>
        <w:shd w:val="clear" w:color="auto" w:fill="FFFFFF"/>
        <w:spacing w:after="0" w:line="240" w:lineRule="auto"/>
        <w:rPr>
          <w:rFonts w:eastAsia="Times New Roman" w:cs="Arial"/>
          <w:sz w:val="22"/>
          <w:lang w:val="es-ES"/>
        </w:rPr>
      </w:pPr>
    </w:p>
    <w:p w14:paraId="147D3E87" w14:textId="0070496D" w:rsidR="00282730" w:rsidRPr="008D7963" w:rsidRDefault="00282730" w:rsidP="00282730">
      <w:pPr>
        <w:shd w:val="clear" w:color="auto" w:fill="FFFFFF"/>
        <w:spacing w:after="0" w:line="240" w:lineRule="auto"/>
        <w:rPr>
          <w:rFonts w:eastAsia="Times New Roman" w:cs="Arial"/>
          <w:sz w:val="22"/>
          <w:lang w:val="es-ES"/>
        </w:rPr>
      </w:pPr>
      <w:r w:rsidRPr="008D7963">
        <w:rPr>
          <w:rFonts w:eastAsia="Times New Roman" w:cs="Arial"/>
          <w:sz w:val="22"/>
          <w:lang w:val="es-419"/>
        </w:rPr>
        <w:t xml:space="preserve">Se realizó el contrato con </w:t>
      </w:r>
      <w:r w:rsidRPr="008D7963">
        <w:rPr>
          <w:rFonts w:eastAsia="Times New Roman" w:cs="Arial"/>
          <w:sz w:val="22"/>
          <w:lang w:val="es-ES"/>
        </w:rPr>
        <w:t>SREDJURISTAS SAS</w:t>
      </w:r>
      <w:r w:rsidRPr="008D7963">
        <w:rPr>
          <w:rFonts w:eastAsia="Times New Roman" w:cs="Arial"/>
          <w:sz w:val="22"/>
          <w:lang w:val="es-419"/>
        </w:rPr>
        <w:t xml:space="preserve"> para la s</w:t>
      </w:r>
      <w:r w:rsidRPr="008D7963">
        <w:rPr>
          <w:rFonts w:eastAsia="Times New Roman" w:cs="Arial"/>
          <w:sz w:val="22"/>
          <w:lang w:val="es-ES"/>
        </w:rPr>
        <w:t>suscripción al servicio de información jurídica y contable, consulta web y biblioteca digital de conceptos, jurisprudencia, doctrina y legislación colombiana actualizada.</w:t>
      </w:r>
    </w:p>
    <w:p w14:paraId="0356594E" w14:textId="3ACFA01B" w:rsidR="0009429F" w:rsidRPr="008D7963" w:rsidRDefault="00DC0228" w:rsidP="00DC0228">
      <w:pPr>
        <w:shd w:val="clear" w:color="auto" w:fill="FFFFFF"/>
        <w:spacing w:after="0" w:line="240" w:lineRule="auto"/>
        <w:rPr>
          <w:rFonts w:eastAsia="Times New Roman" w:cs="Arial"/>
          <w:sz w:val="22"/>
        </w:rPr>
      </w:pPr>
      <w:r w:rsidRPr="008D7963">
        <w:rPr>
          <w:rFonts w:eastAsia="Times New Roman" w:cs="Arial"/>
          <w:sz w:val="22"/>
          <w:lang w:val="es-ES"/>
        </w:rPr>
        <w:t> </w:t>
      </w:r>
    </w:p>
    <w:p w14:paraId="178482E4" w14:textId="58672D9D" w:rsidR="00DC0228" w:rsidRPr="008D7963" w:rsidRDefault="00DC0228" w:rsidP="00DC0228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eastAsia="Times New Roman" w:cs="Arial"/>
          <w:b/>
          <w:bCs/>
          <w:sz w:val="22"/>
          <w:lang w:val="es-ES"/>
        </w:rPr>
      </w:pPr>
      <w:r w:rsidRPr="008D7963">
        <w:rPr>
          <w:rFonts w:eastAsia="Times New Roman" w:cs="Arial"/>
          <w:b/>
          <w:bCs/>
          <w:sz w:val="22"/>
          <w:lang w:val="es-ES"/>
        </w:rPr>
        <w:t xml:space="preserve">Eventos y conmemoraciones.    </w:t>
      </w:r>
    </w:p>
    <w:p w14:paraId="519E1B00" w14:textId="77777777" w:rsidR="00DC0228" w:rsidRPr="008D7963" w:rsidRDefault="00DC0228" w:rsidP="00DC0228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2"/>
          <w:lang w:val="es-ES"/>
        </w:rPr>
      </w:pPr>
    </w:p>
    <w:p w14:paraId="397EB55A" w14:textId="77777777" w:rsidR="00DC0228" w:rsidRPr="008D7963" w:rsidRDefault="00DC0228" w:rsidP="00DC0228">
      <w:pPr>
        <w:shd w:val="clear" w:color="auto" w:fill="FFFFFF"/>
        <w:spacing w:after="0" w:line="240" w:lineRule="auto"/>
        <w:rPr>
          <w:rFonts w:eastAsia="Times New Roman" w:cs="Arial"/>
          <w:sz w:val="22"/>
          <w:lang w:val="es-ES"/>
        </w:rPr>
      </w:pPr>
      <w:r w:rsidRPr="008D7963">
        <w:rPr>
          <w:rFonts w:eastAsia="Times New Roman" w:cs="Arial"/>
          <w:sz w:val="22"/>
          <w:lang w:val="es-ES"/>
        </w:rPr>
        <w:t xml:space="preserve">No existe en el Instituto rubro asignado para estos conceptos. </w:t>
      </w:r>
    </w:p>
    <w:p w14:paraId="4D001C2E" w14:textId="77777777" w:rsidR="00DC0228" w:rsidRPr="008D7963" w:rsidRDefault="00DC0228" w:rsidP="00DC0228">
      <w:pPr>
        <w:spacing w:after="160" w:line="259" w:lineRule="auto"/>
        <w:jc w:val="left"/>
        <w:rPr>
          <w:rFonts w:cs="Arial"/>
          <w:b/>
          <w:sz w:val="22"/>
        </w:rPr>
      </w:pPr>
    </w:p>
    <w:p w14:paraId="48404C42" w14:textId="77777777" w:rsidR="00DC0228" w:rsidRPr="008D7963" w:rsidRDefault="00DC0228" w:rsidP="00DC0228">
      <w:pPr>
        <w:pStyle w:val="Prrafodelista"/>
        <w:numPr>
          <w:ilvl w:val="1"/>
          <w:numId w:val="16"/>
        </w:numPr>
        <w:rPr>
          <w:rFonts w:cs="Arial"/>
          <w:b/>
          <w:bCs/>
          <w:sz w:val="22"/>
        </w:rPr>
      </w:pPr>
      <w:r w:rsidRPr="008D7963">
        <w:rPr>
          <w:rFonts w:cs="Arial"/>
          <w:b/>
          <w:bCs/>
          <w:sz w:val="22"/>
        </w:rPr>
        <w:t xml:space="preserve">Adquisición, mantenimiento o reparación de bienes inmuebles o muebles </w:t>
      </w:r>
    </w:p>
    <w:p w14:paraId="65BA6188" w14:textId="2698CF99" w:rsidR="00DC0228" w:rsidRPr="008D7963" w:rsidRDefault="00506B88" w:rsidP="00DC0228">
      <w:pPr>
        <w:rPr>
          <w:rFonts w:cs="Arial"/>
          <w:sz w:val="22"/>
        </w:rPr>
      </w:pPr>
      <w:r w:rsidRPr="008D7963">
        <w:rPr>
          <w:rFonts w:cs="Arial"/>
          <w:bCs/>
          <w:sz w:val="22"/>
        </w:rPr>
        <w:t xml:space="preserve">En la página web de la Entidad </w:t>
      </w:r>
      <w:r w:rsidR="00DC0228" w:rsidRPr="008D7963">
        <w:rPr>
          <w:rFonts w:cs="Arial"/>
          <w:bCs/>
          <w:sz w:val="22"/>
        </w:rPr>
        <w:t xml:space="preserve"> se encuentra formulado el Plan de Mantenimiento, </w:t>
      </w:r>
      <w:hyperlink r:id="rId9" w:history="1">
        <w:r w:rsidR="00915CBE" w:rsidRPr="008D7963">
          <w:rPr>
            <w:rStyle w:val="Hipervnculo"/>
            <w:rFonts w:cs="Arial"/>
            <w:bCs/>
            <w:sz w:val="22"/>
          </w:rPr>
          <w:t>http://www.idep.edu.co/sites/default/files/PL-GRF-11-</w:t>
        </w:r>
      </w:hyperlink>
      <w:r w:rsidR="00DC0228" w:rsidRPr="008D7963">
        <w:rPr>
          <w:rFonts w:cs="Arial"/>
          <w:bCs/>
          <w:sz w:val="22"/>
        </w:rPr>
        <w:t xml:space="preserve">cuyo objetivo es </w:t>
      </w:r>
      <w:r w:rsidR="00DC0228" w:rsidRPr="008D7963">
        <w:rPr>
          <w:rFonts w:cs="Arial"/>
          <w:sz w:val="22"/>
        </w:rPr>
        <w:t xml:space="preserve">conservar y mantener en buen estado las instalaciones, equipos, vehículos, bienes muebles y enseres de la sede del IDEP y de su archivo central, para este periodo no se </w:t>
      </w:r>
      <w:r w:rsidR="003C7E99" w:rsidRPr="008D7963">
        <w:rPr>
          <w:rFonts w:cs="Arial"/>
          <w:sz w:val="22"/>
        </w:rPr>
        <w:t xml:space="preserve">efectuaron </w:t>
      </w:r>
      <w:r w:rsidR="00DC0228" w:rsidRPr="008D7963">
        <w:rPr>
          <w:rFonts w:cs="Arial"/>
          <w:sz w:val="22"/>
        </w:rPr>
        <w:t>pagos por este rubro.</w:t>
      </w:r>
    </w:p>
    <w:p w14:paraId="588B2E8B" w14:textId="77777777" w:rsidR="006E57A9" w:rsidRPr="008D7963" w:rsidRDefault="006E57A9" w:rsidP="006E57A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tbl>
      <w:tblPr>
        <w:tblW w:w="876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490"/>
        <w:gridCol w:w="1838"/>
        <w:gridCol w:w="2470"/>
        <w:gridCol w:w="1490"/>
      </w:tblGrid>
      <w:tr w:rsidR="00562087" w:rsidRPr="008D7963" w14:paraId="4B5E11DB" w14:textId="77777777" w:rsidTr="00562087">
        <w:trPr>
          <w:trHeight w:val="367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627F7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CONCEPTO 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82CE9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FBBFC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BAE7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168C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 %  RESPECTO</w:t>
            </w:r>
          </w:p>
        </w:tc>
      </w:tr>
      <w:tr w:rsidR="00562087" w:rsidRPr="008D7963" w14:paraId="7831A51A" w14:textId="77777777" w:rsidTr="00562087">
        <w:trPr>
          <w:trHeight w:val="551"/>
        </w:trPr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FDDCA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C896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TRIMESTRE 2020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08B3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TRIMESTRE 2019 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A73F0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ABSOLUTA RESPECTO AL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E6A53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AL TRIMESTRE ANTERIOR</w:t>
            </w:r>
          </w:p>
        </w:tc>
      </w:tr>
      <w:tr w:rsidR="00562087" w:rsidRPr="008D7963" w14:paraId="2D37EA0A" w14:textId="77777777" w:rsidTr="00562087">
        <w:trPr>
          <w:trHeight w:val="379"/>
        </w:trPr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C412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9A70E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A869F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B66FD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TRIMESTRE  ANTERIOR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AE10A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562087" w:rsidRPr="008D7963" w14:paraId="14A1D85D" w14:textId="77777777" w:rsidTr="00562087">
        <w:trPr>
          <w:trHeight w:val="56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5E51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Servicio mantenimiento entidad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3DB6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419"/>
              </w:rPr>
              <w:t>0 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6BBA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623,006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74BF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-623,006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8360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-100%</w:t>
            </w:r>
          </w:p>
        </w:tc>
      </w:tr>
    </w:tbl>
    <w:p w14:paraId="06642179" w14:textId="2ACE4087" w:rsidR="00562087" w:rsidRPr="008D7963" w:rsidRDefault="00562087" w:rsidP="00562087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458E5602" w14:textId="77777777" w:rsidR="00A57F1E" w:rsidRDefault="00A57F1E" w:rsidP="00562087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48E84BB5" w14:textId="77777777" w:rsidR="00E913D6" w:rsidRDefault="00E913D6" w:rsidP="00562087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12AD2843" w14:textId="77777777" w:rsidR="00E913D6" w:rsidRPr="008D7963" w:rsidRDefault="00E913D6" w:rsidP="00562087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10088F01" w14:textId="77777777" w:rsidR="00DC0228" w:rsidRPr="008D7963" w:rsidRDefault="00DC0228" w:rsidP="00DC0228">
      <w:pPr>
        <w:pStyle w:val="Prrafodelista"/>
        <w:numPr>
          <w:ilvl w:val="1"/>
          <w:numId w:val="16"/>
        </w:numPr>
        <w:rPr>
          <w:rFonts w:cs="Arial"/>
          <w:sz w:val="22"/>
        </w:rPr>
      </w:pPr>
      <w:r w:rsidRPr="008D7963">
        <w:rPr>
          <w:rFonts w:cs="Arial"/>
          <w:b/>
          <w:bCs/>
          <w:sz w:val="22"/>
        </w:rPr>
        <w:lastRenderedPageBreak/>
        <w:t>Seguros</w:t>
      </w:r>
    </w:p>
    <w:p w14:paraId="3362CA98" w14:textId="0DD507FC" w:rsidR="00DC0228" w:rsidRDefault="00DC0228" w:rsidP="00DC0228">
      <w:pPr>
        <w:rPr>
          <w:rFonts w:cs="Arial"/>
          <w:sz w:val="22"/>
        </w:rPr>
      </w:pPr>
      <w:r w:rsidRPr="008D7963">
        <w:rPr>
          <w:rFonts w:cs="Arial"/>
          <w:sz w:val="22"/>
        </w:rPr>
        <w:t xml:space="preserve">El 17 de abril se </w:t>
      </w:r>
      <w:r w:rsidR="00014B19" w:rsidRPr="008D7963">
        <w:rPr>
          <w:rFonts w:cs="Arial"/>
          <w:sz w:val="22"/>
        </w:rPr>
        <w:t>suscribió</w:t>
      </w:r>
      <w:r w:rsidRPr="008D7963">
        <w:rPr>
          <w:rFonts w:cs="Arial"/>
          <w:sz w:val="22"/>
        </w:rPr>
        <w:t xml:space="preserve"> el contrato No. 34 con la Aseguradora Solidaria de Colombia, cuyo objeto es "Adquisición de los seguros que amparen los intereses patrimoniales actuales y futuros,</w:t>
      </w:r>
      <w:r w:rsidR="00A44DCA" w:rsidRPr="008D7963">
        <w:rPr>
          <w:rFonts w:cs="Arial"/>
          <w:sz w:val="22"/>
        </w:rPr>
        <w:t xml:space="preserve"> </w:t>
      </w:r>
      <w:r w:rsidRPr="008D7963">
        <w:rPr>
          <w:rFonts w:cs="Arial"/>
          <w:sz w:val="22"/>
        </w:rPr>
        <w:t>como los bienes de propiedad del instituto para la investigación educativa y el desarrollo pedagógico - IDEP, que estén bajo su responsabilidad y custodia y aquellos que sean adquiridos para desarrollar las funciones inherentes a su actividad y cualquier otra póliza de seguros que requiera la entidad en el desarrollo de su actividad"</w:t>
      </w:r>
      <w:r w:rsidR="00014B19" w:rsidRPr="008D7963">
        <w:rPr>
          <w:rFonts w:cs="Arial"/>
          <w:sz w:val="22"/>
        </w:rPr>
        <w:t xml:space="preserve"> </w:t>
      </w:r>
      <w:r w:rsidR="005E26D9" w:rsidRPr="008D7963">
        <w:rPr>
          <w:rFonts w:cs="Arial"/>
          <w:sz w:val="22"/>
        </w:rPr>
        <w:t xml:space="preserve">para el </w:t>
      </w:r>
      <w:r w:rsidR="007B3298" w:rsidRPr="008D7963">
        <w:rPr>
          <w:rFonts w:cs="Arial"/>
          <w:sz w:val="22"/>
          <w:lang w:val="es-419"/>
        </w:rPr>
        <w:t>tercer periodo</w:t>
      </w:r>
      <w:r w:rsidR="005E26D9" w:rsidRPr="008D7963">
        <w:rPr>
          <w:rFonts w:cs="Arial"/>
          <w:sz w:val="22"/>
        </w:rPr>
        <w:t xml:space="preserve"> se </w:t>
      </w:r>
      <w:r w:rsidR="006E57A9" w:rsidRPr="008D7963">
        <w:rPr>
          <w:rFonts w:cs="Arial"/>
          <w:sz w:val="22"/>
        </w:rPr>
        <w:t xml:space="preserve">registra el pago del SOAT </w:t>
      </w:r>
      <w:r w:rsidR="005E26D9" w:rsidRPr="008D7963">
        <w:rPr>
          <w:rFonts w:cs="Arial"/>
          <w:sz w:val="22"/>
        </w:rPr>
        <w:t>:</w:t>
      </w:r>
    </w:p>
    <w:p w14:paraId="0B8D445B" w14:textId="77777777" w:rsidR="00E913D6" w:rsidRPr="008D7963" w:rsidRDefault="00E913D6" w:rsidP="00DC0228">
      <w:pPr>
        <w:rPr>
          <w:rFonts w:cs="Arial"/>
          <w:sz w:val="22"/>
        </w:rPr>
      </w:pPr>
    </w:p>
    <w:tbl>
      <w:tblPr>
        <w:tblW w:w="88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493"/>
        <w:gridCol w:w="1841"/>
        <w:gridCol w:w="2474"/>
        <w:gridCol w:w="1493"/>
      </w:tblGrid>
      <w:tr w:rsidR="00562087" w:rsidRPr="008D7963" w14:paraId="22A61FF0" w14:textId="77777777" w:rsidTr="00562087">
        <w:trPr>
          <w:trHeight w:val="140"/>
        </w:trPr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4FB22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CONCEPTO 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38CA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9DB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E14E8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4D96F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"/>
              </w:rPr>
              <w:t>VAR %  RESPECTO</w:t>
            </w:r>
          </w:p>
        </w:tc>
      </w:tr>
      <w:tr w:rsidR="00562087" w:rsidRPr="008D7963" w14:paraId="7293EFF1" w14:textId="77777777" w:rsidTr="00562087">
        <w:trPr>
          <w:trHeight w:val="210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3FEE5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86B0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TRIMESTRE 2020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9CC34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 xml:space="preserve">TRIMESTRE 2019 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BBE8E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ABSOLUTA RESPECTO 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3B5C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AL TRIMESTRE ANTERIOR</w:t>
            </w:r>
          </w:p>
        </w:tc>
      </w:tr>
      <w:tr w:rsidR="00562087" w:rsidRPr="008D7963" w14:paraId="58CE7A0C" w14:textId="77777777" w:rsidTr="008F2138">
        <w:trPr>
          <w:trHeight w:val="144"/>
        </w:trPr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68E13F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5E88E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720C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EDD66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TRIMESTRE  ANTERIOR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5DE3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D7963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562087" w:rsidRPr="008D7963" w14:paraId="6E816191" w14:textId="77777777" w:rsidTr="008F2138">
        <w:trPr>
          <w:trHeight w:val="70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B20" w14:textId="77777777" w:rsidR="00562087" w:rsidRPr="008D7963" w:rsidRDefault="00562087" w:rsidP="0056208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Servicios de Seguro ( vehículos automotores, contra incendio, terremoto o sustracción, responsabilidad civil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928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        1.288.750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5A7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              1.553.664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482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 xml:space="preserve">-               264.914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44BB" w14:textId="77777777" w:rsidR="00562087" w:rsidRPr="008D7963" w:rsidRDefault="00562087" w:rsidP="005620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8D7963">
              <w:rPr>
                <w:rFonts w:eastAsia="Times New Roman" w:cs="Arial"/>
                <w:color w:val="000000"/>
                <w:sz w:val="16"/>
                <w:szCs w:val="16"/>
                <w:lang w:val="es-ES"/>
              </w:rPr>
              <w:t>-17%</w:t>
            </w:r>
          </w:p>
        </w:tc>
      </w:tr>
    </w:tbl>
    <w:p w14:paraId="6E857DBC" w14:textId="6E69C240" w:rsidR="006E57A9" w:rsidRDefault="006E57A9" w:rsidP="006E57A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45840032" w14:textId="77777777" w:rsidR="00E913D6" w:rsidRDefault="00E913D6" w:rsidP="006E57A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74084D49" w14:textId="77777777" w:rsidR="00E913D6" w:rsidRPr="008D7963" w:rsidRDefault="00E913D6" w:rsidP="006E57A9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4CC32013" w14:textId="62913192" w:rsidR="00EC6E1F" w:rsidRPr="008D7963" w:rsidRDefault="00EC6E1F" w:rsidP="00C50844">
      <w:pPr>
        <w:pStyle w:val="Prrafodelista"/>
        <w:numPr>
          <w:ilvl w:val="1"/>
          <w:numId w:val="16"/>
        </w:numPr>
        <w:spacing w:after="160" w:line="259" w:lineRule="auto"/>
        <w:jc w:val="left"/>
        <w:rPr>
          <w:rFonts w:cs="Arial"/>
          <w:b/>
          <w:sz w:val="22"/>
        </w:rPr>
      </w:pPr>
      <w:r w:rsidRPr="008D7963">
        <w:rPr>
          <w:rFonts w:cs="Arial"/>
          <w:b/>
          <w:sz w:val="22"/>
        </w:rPr>
        <w:t xml:space="preserve">Cajas Menores. </w:t>
      </w:r>
    </w:p>
    <w:p w14:paraId="6AE0010E" w14:textId="7E11CA5D" w:rsidR="00674EF1" w:rsidRDefault="00EC6E1F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sz w:val="22"/>
          <w:lang w:val="es-419"/>
        </w:rPr>
      </w:pPr>
      <w:r w:rsidRPr="008D7963">
        <w:rPr>
          <w:rFonts w:cs="Arial"/>
          <w:sz w:val="22"/>
        </w:rPr>
        <w:t xml:space="preserve">El Instituto atendiendo las disposiciones legales, reglamentó el manejo de la Caja Menor mediante Resolución No.20 del 21 de febrero de 2020 donde establece el responsable y los parámetros que deben adoptarse para el manejo de esta, considerando los gastos urgentes, inaplazables e imprescindibles, enmarcados dentro de las políticas de racionalización del gasto y dando cumplimiento a los montos máximos establecidos en la </w:t>
      </w:r>
      <w:r w:rsidRPr="008D7963">
        <w:rPr>
          <w:rFonts w:cs="Arial"/>
          <w:sz w:val="22"/>
          <w:lang w:val="es-419"/>
        </w:rPr>
        <w:t>mi</w:t>
      </w:r>
      <w:r w:rsidR="00E3744F" w:rsidRPr="008D7963">
        <w:rPr>
          <w:rFonts w:cs="Arial"/>
          <w:sz w:val="22"/>
          <w:lang w:val="es-419"/>
        </w:rPr>
        <w:t>sma.</w:t>
      </w:r>
    </w:p>
    <w:p w14:paraId="7D89E286" w14:textId="77777777" w:rsidR="00E913D6" w:rsidRDefault="00E913D6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sz w:val="22"/>
          <w:lang w:val="es-419"/>
        </w:rPr>
      </w:pPr>
    </w:p>
    <w:p w14:paraId="2DC43C5F" w14:textId="77777777" w:rsidR="00E913D6" w:rsidRDefault="00E913D6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sz w:val="22"/>
          <w:lang w:val="es-419"/>
        </w:rPr>
      </w:pPr>
    </w:p>
    <w:p w14:paraId="5C4CCE91" w14:textId="77777777" w:rsidR="00E913D6" w:rsidRDefault="00E913D6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sz w:val="22"/>
          <w:lang w:val="es-419"/>
        </w:rPr>
      </w:pPr>
    </w:p>
    <w:p w14:paraId="099D8A83" w14:textId="77777777" w:rsidR="00E913D6" w:rsidRDefault="00E913D6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sz w:val="22"/>
          <w:lang w:val="es-419"/>
        </w:rPr>
      </w:pPr>
    </w:p>
    <w:p w14:paraId="7BD78466" w14:textId="77777777" w:rsidR="00E913D6" w:rsidRPr="008D7963" w:rsidRDefault="00E913D6" w:rsidP="00E913D6">
      <w:pPr>
        <w:pStyle w:val="Textoindependienteprimerasangra2"/>
        <w:tabs>
          <w:tab w:val="left" w:pos="1134"/>
        </w:tabs>
        <w:ind w:left="0" w:firstLine="0"/>
        <w:rPr>
          <w:rFonts w:cs="Arial"/>
          <w:i/>
          <w:iCs/>
          <w:sz w:val="16"/>
          <w:szCs w:val="16"/>
        </w:rPr>
      </w:pPr>
      <w:bookmarkStart w:id="0" w:name="_GoBack"/>
      <w:bookmarkEnd w:id="0"/>
    </w:p>
    <w:tbl>
      <w:tblPr>
        <w:tblW w:w="9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527"/>
        <w:gridCol w:w="1884"/>
        <w:gridCol w:w="1884"/>
        <w:gridCol w:w="1527"/>
      </w:tblGrid>
      <w:tr w:rsidR="00733938" w:rsidRPr="008D7963" w14:paraId="172E76B7" w14:textId="77777777" w:rsidTr="00733938">
        <w:trPr>
          <w:trHeight w:val="32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23C4C" w14:textId="77777777" w:rsidR="00733938" w:rsidRPr="008D7963" w:rsidRDefault="00733938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lastRenderedPageBreak/>
              <w:t xml:space="preserve">CONCEPTO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FFE82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 TRIMESTRE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3A555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TERCER TRIMESTRE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A7B21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VAR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853D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VAR %   </w:t>
            </w:r>
          </w:p>
        </w:tc>
      </w:tr>
      <w:tr w:rsidR="00733938" w:rsidRPr="008D7963" w14:paraId="222B3DE8" w14:textId="77777777" w:rsidTr="00733938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034" w14:textId="77777777" w:rsidR="00733938" w:rsidRPr="008D7963" w:rsidRDefault="00733938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DADCB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2020.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13BF5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2019.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5FF8B" w14:textId="77777777" w:rsidR="00733938" w:rsidRPr="008D7963" w:rsidRDefault="00733938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ABSOLUTA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3A8" w14:textId="77777777" w:rsidR="00733938" w:rsidRPr="008D7963" w:rsidRDefault="00733938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938" w:rsidRPr="008D7963" w14:paraId="4BE996FC" w14:textId="77777777" w:rsidTr="00733938">
        <w:trPr>
          <w:trHeight w:val="31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2BA15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Maquinaria y aparatos eléctricos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99870" w14:textId="5ED38CBF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9CE3D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122.000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9D3EE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-               122.000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3F5CE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-100%</w:t>
            </w:r>
          </w:p>
        </w:tc>
      </w:tr>
      <w:tr w:rsidR="00733938" w:rsidRPr="008D7963" w14:paraId="23229C85" w14:textId="77777777" w:rsidTr="00733938">
        <w:trPr>
          <w:trHeight w:val="898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0F65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Otros productos químicos; fibras artificiales (o fibras industriales hechas por el hombre)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8B53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668.997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EF61A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375.664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3FC2A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293.333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DC45A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78%</w:t>
            </w:r>
          </w:p>
        </w:tc>
      </w:tr>
      <w:tr w:rsidR="00733938" w:rsidRPr="008D7963" w14:paraId="3A3A4409" w14:textId="77777777" w:rsidTr="00733938">
        <w:trPr>
          <w:trHeight w:val="9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5C7B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Pasta o pulpa, papel y productos de papel; impresos y artículos relacionados Servicios de impresión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79D12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96.000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192D6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  66.000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AD74F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  30.000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2DB0D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45%</w:t>
            </w:r>
          </w:p>
        </w:tc>
      </w:tr>
      <w:tr w:rsidR="00733938" w:rsidRPr="008D7963" w14:paraId="21FF1506" w14:textId="77777777" w:rsidTr="00733938">
        <w:trPr>
          <w:trHeight w:val="79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DD97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Servicios de mantenimiento y reparación de productos metálicos elaborados, excepto maquinaria y equipo.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1DF46" w14:textId="3F8D5075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 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F25BF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451.902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7D566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-               451.902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27429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-100%</w:t>
            </w:r>
          </w:p>
        </w:tc>
      </w:tr>
      <w:tr w:rsidR="00733938" w:rsidRPr="008D7963" w14:paraId="29CCD057" w14:textId="77777777" w:rsidTr="00733938">
        <w:trPr>
          <w:trHeight w:val="48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64FA2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Servicios de reparación de muebles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9EC7E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0 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2742A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240.000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F59A8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240.000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F592C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-100%</w:t>
            </w:r>
          </w:p>
        </w:tc>
      </w:tr>
      <w:tr w:rsidR="00733938" w:rsidRPr="008D7963" w14:paraId="24BA52E7" w14:textId="77777777" w:rsidTr="00733938">
        <w:trPr>
          <w:trHeight w:val="48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16DE7" w14:textId="77777777" w:rsidR="00733938" w:rsidRPr="008D7963" w:rsidRDefault="00733938">
            <w:pPr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D7963">
              <w:rPr>
                <w:rFonts w:ascii="Calibri" w:hAnsi="Calibri"/>
                <w:color w:val="000000"/>
                <w:sz w:val="16"/>
                <w:szCs w:val="16"/>
                <w:lang w:val="es-ES"/>
              </w:rPr>
              <w:t xml:space="preserve"> Servicios de transporte de pasajeros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1F7A9" w14:textId="77777777" w:rsidR="00733938" w:rsidRPr="008D7963" w:rsidRDefault="007339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D7963">
              <w:rPr>
                <w:rFonts w:ascii="Calibri" w:hAnsi="Calibri"/>
                <w:color w:val="000000"/>
                <w:sz w:val="16"/>
                <w:szCs w:val="16"/>
                <w:lang w:val="es-ES"/>
              </w:rPr>
              <w:t xml:space="preserve">                 162.374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6BF7A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   445.700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C5DD2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-               283.326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84276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-64%</w:t>
            </w:r>
          </w:p>
        </w:tc>
      </w:tr>
      <w:tr w:rsidR="00733938" w:rsidRPr="008D7963" w14:paraId="328EF961" w14:textId="77777777" w:rsidTr="00733938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B3DF0" w14:textId="77777777" w:rsidR="00733938" w:rsidRPr="008D7963" w:rsidRDefault="00733938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3E7BF" w14:textId="77777777" w:rsidR="00733938" w:rsidRPr="008D7963" w:rsidRDefault="00733938">
            <w:pPr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927.371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E4FC5" w14:textId="77777777" w:rsidR="00733938" w:rsidRPr="008D7963" w:rsidRDefault="00733938">
            <w:pPr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              1.701.266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1A0C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-               773.895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F2443" w14:textId="77777777" w:rsidR="00733938" w:rsidRPr="008D7963" w:rsidRDefault="0073393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D7963">
              <w:rPr>
                <w:rFonts w:cs="Arial"/>
                <w:color w:val="000000"/>
                <w:sz w:val="16"/>
                <w:szCs w:val="16"/>
                <w:lang w:val="es-ES"/>
              </w:rPr>
              <w:t>-45%</w:t>
            </w:r>
          </w:p>
        </w:tc>
      </w:tr>
    </w:tbl>
    <w:p w14:paraId="63B6B782" w14:textId="77777777" w:rsidR="00733938" w:rsidRPr="008D7963" w:rsidRDefault="00733938" w:rsidP="0073393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  <w:r w:rsidRPr="008D7963">
        <w:rPr>
          <w:rFonts w:cs="Arial"/>
          <w:b/>
          <w:bCs/>
          <w:i/>
          <w:iCs/>
          <w:sz w:val="16"/>
          <w:szCs w:val="16"/>
        </w:rPr>
        <w:t xml:space="preserve">Fuente: </w:t>
      </w:r>
      <w:r w:rsidRPr="008D7963">
        <w:rPr>
          <w:rFonts w:cs="Arial"/>
          <w:i/>
          <w:iCs/>
          <w:sz w:val="16"/>
          <w:szCs w:val="16"/>
        </w:rPr>
        <w:t xml:space="preserve">Subdirección Administrativa y Financiera – Ordenes de pago por rubro presupuestal GOOBI. </w:t>
      </w:r>
    </w:p>
    <w:p w14:paraId="73AAD096" w14:textId="77777777" w:rsidR="00733938" w:rsidRPr="008D7963" w:rsidRDefault="00733938" w:rsidP="00733938">
      <w:pPr>
        <w:pStyle w:val="Textoindependiente"/>
        <w:spacing w:line="240" w:lineRule="atLeast"/>
        <w:rPr>
          <w:rFonts w:cs="Arial"/>
          <w:i/>
          <w:iCs/>
          <w:sz w:val="16"/>
          <w:szCs w:val="16"/>
        </w:rPr>
      </w:pPr>
    </w:p>
    <w:p w14:paraId="4E3E3BA5" w14:textId="78C40FFE" w:rsidR="00E37868" w:rsidRPr="008D7963" w:rsidRDefault="00172C2A" w:rsidP="007A50C9">
      <w:pPr>
        <w:pStyle w:val="Prrafodelista"/>
        <w:numPr>
          <w:ilvl w:val="1"/>
          <w:numId w:val="16"/>
        </w:numPr>
        <w:jc w:val="left"/>
        <w:rPr>
          <w:rFonts w:cs="Arial"/>
          <w:sz w:val="22"/>
        </w:rPr>
      </w:pPr>
      <w:r w:rsidRPr="008D7963">
        <w:rPr>
          <w:rFonts w:cs="Arial"/>
          <w:b/>
          <w:sz w:val="22"/>
        </w:rPr>
        <w:t xml:space="preserve">Plan de Austeridad e Indicadores </w:t>
      </w:r>
    </w:p>
    <w:p w14:paraId="4F69B53B" w14:textId="12610E99" w:rsidR="0009429F" w:rsidRPr="008D7963" w:rsidRDefault="0009429F" w:rsidP="0009429F">
      <w:pPr>
        <w:rPr>
          <w:rFonts w:cs="Arial"/>
          <w:b/>
          <w:iCs/>
          <w:sz w:val="22"/>
        </w:rPr>
      </w:pPr>
    </w:p>
    <w:p w14:paraId="354312F7" w14:textId="45E93FFF" w:rsidR="00EB03E1" w:rsidRPr="0041267C" w:rsidRDefault="000E1BB8" w:rsidP="00EB03E1">
      <w:pPr>
        <w:spacing w:after="160" w:line="259" w:lineRule="auto"/>
        <w:rPr>
          <w:rFonts w:cs="Arial"/>
          <w:sz w:val="22"/>
          <w:lang w:val="es-419"/>
        </w:rPr>
      </w:pPr>
      <w:r w:rsidRPr="008D7963">
        <w:rPr>
          <w:rFonts w:cs="Arial"/>
          <w:sz w:val="22"/>
          <w:lang w:val="es-419"/>
        </w:rPr>
        <w:t>Se remiti</w:t>
      </w:r>
      <w:r w:rsidR="00986142" w:rsidRPr="008D7963">
        <w:rPr>
          <w:rFonts w:cs="Arial"/>
          <w:sz w:val="22"/>
          <w:lang w:val="es-419"/>
        </w:rPr>
        <w:t>ó</w:t>
      </w:r>
      <w:r w:rsidRPr="008D7963">
        <w:rPr>
          <w:rFonts w:cs="Arial"/>
          <w:sz w:val="22"/>
          <w:lang w:val="es-419"/>
        </w:rPr>
        <w:t xml:space="preserve"> </w:t>
      </w:r>
      <w:r w:rsidR="00986142" w:rsidRPr="008D7963">
        <w:rPr>
          <w:rFonts w:cs="Arial"/>
          <w:sz w:val="22"/>
          <w:lang w:val="es-419"/>
        </w:rPr>
        <w:t xml:space="preserve">al </w:t>
      </w:r>
      <w:r w:rsidR="00986142" w:rsidRPr="008D7963">
        <w:rPr>
          <w:rFonts w:cs="Arial"/>
          <w:sz w:val="22"/>
        </w:rPr>
        <w:t>Concejo</w:t>
      </w:r>
      <w:r w:rsidR="00EB03E1" w:rsidRPr="008D7963">
        <w:rPr>
          <w:rFonts w:cs="Arial"/>
          <w:sz w:val="22"/>
        </w:rPr>
        <w:t xml:space="preserve"> de Bogotá </w:t>
      </w:r>
      <w:r w:rsidR="0069418E" w:rsidRPr="008D7963">
        <w:rPr>
          <w:rFonts w:cs="Arial"/>
          <w:sz w:val="22"/>
          <w:lang w:val="es-419"/>
        </w:rPr>
        <w:t>los informes de seguimiento al cumplimiento del plan de austeridad año 2019 y se envió a la Secretaria de Educación para la consolidación del informe del primer semestre de 2020 por sector</w:t>
      </w:r>
      <w:r w:rsidR="00986142" w:rsidRPr="0041267C">
        <w:rPr>
          <w:rFonts w:cs="Arial"/>
          <w:sz w:val="22"/>
          <w:lang w:val="es-419"/>
        </w:rPr>
        <w:t xml:space="preserve">, </w:t>
      </w:r>
      <w:r w:rsidR="0041267C" w:rsidRPr="0041267C">
        <w:rPr>
          <w:rFonts w:cs="Arial"/>
          <w:sz w:val="22"/>
          <w:lang w:val="es-419"/>
        </w:rPr>
        <w:t>el 24 de agosto de 2020</w:t>
      </w:r>
      <w:r w:rsidR="0041267C">
        <w:rPr>
          <w:rFonts w:cs="Arial"/>
          <w:sz w:val="22"/>
          <w:lang w:val="es-419"/>
        </w:rPr>
        <w:t>.</w:t>
      </w:r>
    </w:p>
    <w:p w14:paraId="15BB61B1" w14:textId="77777777" w:rsidR="00EA309C" w:rsidRPr="00D27982" w:rsidRDefault="00EA309C" w:rsidP="00EB03E1">
      <w:pPr>
        <w:spacing w:after="160" w:line="259" w:lineRule="auto"/>
        <w:rPr>
          <w:rFonts w:cs="Arial"/>
          <w:sz w:val="22"/>
          <w:highlight w:val="yellow"/>
          <w:lang w:val="es-419"/>
        </w:rPr>
      </w:pPr>
    </w:p>
    <w:p w14:paraId="3079CE36" w14:textId="4BE8C429" w:rsidR="00EB03E1" w:rsidRPr="00D27982" w:rsidRDefault="00EB03E1" w:rsidP="0009429F">
      <w:pPr>
        <w:rPr>
          <w:rFonts w:cs="Arial"/>
          <w:b/>
          <w:iCs/>
          <w:sz w:val="22"/>
          <w:highlight w:val="yellow"/>
        </w:rPr>
      </w:pPr>
    </w:p>
    <w:p w14:paraId="3BBA2ADE" w14:textId="700B558C" w:rsidR="00EB03E1" w:rsidRPr="00D27982" w:rsidRDefault="00EB03E1" w:rsidP="0009429F">
      <w:pPr>
        <w:rPr>
          <w:rFonts w:cs="Arial"/>
          <w:b/>
          <w:iCs/>
          <w:sz w:val="22"/>
          <w:highlight w:val="yellow"/>
        </w:rPr>
      </w:pPr>
    </w:p>
    <w:p w14:paraId="7DDDBFF6" w14:textId="3F1A33FB" w:rsidR="00EB03E1" w:rsidRPr="00D27982" w:rsidRDefault="00EB03E1" w:rsidP="0009429F">
      <w:pPr>
        <w:rPr>
          <w:rFonts w:cs="Arial"/>
          <w:b/>
          <w:iCs/>
          <w:sz w:val="22"/>
          <w:highlight w:val="yellow"/>
        </w:rPr>
      </w:pPr>
    </w:p>
    <w:p w14:paraId="6B490883" w14:textId="6BD86BBE" w:rsidR="00EB03E1" w:rsidRPr="00D27982" w:rsidRDefault="00EB03E1" w:rsidP="0009429F">
      <w:pPr>
        <w:rPr>
          <w:rFonts w:cs="Arial"/>
          <w:b/>
          <w:iCs/>
          <w:sz w:val="22"/>
          <w:highlight w:val="yellow"/>
        </w:rPr>
      </w:pPr>
    </w:p>
    <w:p w14:paraId="155DCB66" w14:textId="77777777" w:rsidR="00EB03E1" w:rsidRPr="00D27982" w:rsidRDefault="00EB03E1" w:rsidP="0009429F">
      <w:pPr>
        <w:rPr>
          <w:rFonts w:cs="Arial"/>
          <w:b/>
          <w:iCs/>
          <w:sz w:val="22"/>
          <w:highlight w:val="yellow"/>
        </w:rPr>
      </w:pPr>
    </w:p>
    <w:p w14:paraId="3DCB2948" w14:textId="77777777" w:rsidR="00E3744F" w:rsidRPr="00D27982" w:rsidRDefault="00E3744F" w:rsidP="0009429F">
      <w:pPr>
        <w:rPr>
          <w:rFonts w:cs="Arial"/>
          <w:b/>
          <w:iCs/>
          <w:sz w:val="22"/>
          <w:highlight w:val="yellow"/>
        </w:rPr>
      </w:pPr>
    </w:p>
    <w:p w14:paraId="59F772F5" w14:textId="66F0CD31" w:rsidR="00A61839" w:rsidRPr="008D7963" w:rsidRDefault="00A61839" w:rsidP="0009429F">
      <w:pPr>
        <w:jc w:val="center"/>
        <w:rPr>
          <w:rFonts w:cs="Arial"/>
          <w:b/>
          <w:iCs/>
          <w:sz w:val="22"/>
        </w:rPr>
      </w:pPr>
      <w:r w:rsidRPr="008D7963">
        <w:rPr>
          <w:rFonts w:cs="Arial"/>
          <w:b/>
          <w:iCs/>
          <w:sz w:val="22"/>
        </w:rPr>
        <w:t>CONCLUSIONES Y RECOMENDACIONES OFICINA DE CONTROL INTERNO</w:t>
      </w:r>
    </w:p>
    <w:p w14:paraId="23AB34E7" w14:textId="77777777" w:rsidR="0009429F" w:rsidRPr="008D7963" w:rsidRDefault="0009429F" w:rsidP="0086488B">
      <w:pPr>
        <w:spacing w:after="0" w:line="240" w:lineRule="auto"/>
        <w:rPr>
          <w:rFonts w:cs="Arial"/>
          <w:bCs/>
          <w:sz w:val="22"/>
          <w:shd w:val="clear" w:color="auto" w:fill="FFFFFF"/>
          <w:lang w:val="es-ES"/>
        </w:rPr>
      </w:pPr>
    </w:p>
    <w:p w14:paraId="1269D63B" w14:textId="6E5282F8" w:rsidR="0009429F" w:rsidRPr="008D7963" w:rsidRDefault="008C4FCA" w:rsidP="0086488B">
      <w:pPr>
        <w:spacing w:after="0" w:line="240" w:lineRule="auto"/>
        <w:rPr>
          <w:rFonts w:cs="Arial"/>
          <w:sz w:val="22"/>
          <w:lang w:val="es-419"/>
        </w:rPr>
      </w:pPr>
      <w:r w:rsidRPr="008D7963">
        <w:rPr>
          <w:rFonts w:cs="Arial"/>
          <w:bCs/>
          <w:sz w:val="22"/>
          <w:shd w:val="clear" w:color="auto" w:fill="FFFFFF"/>
          <w:lang w:val="es-ES"/>
        </w:rPr>
        <w:t xml:space="preserve">Una vez revisados los resultados sobre los gastos para el tercer trimestre de 2020, se </w:t>
      </w:r>
      <w:r w:rsidR="0041267C">
        <w:rPr>
          <w:rFonts w:cs="Arial"/>
          <w:bCs/>
          <w:sz w:val="22"/>
          <w:shd w:val="clear" w:color="auto" w:fill="FFFFFF"/>
          <w:lang w:val="es-419"/>
        </w:rPr>
        <w:t>1</w:t>
      </w:r>
      <w:r w:rsidRPr="008D7963">
        <w:rPr>
          <w:rFonts w:cs="Arial"/>
          <w:bCs/>
          <w:sz w:val="22"/>
          <w:shd w:val="clear" w:color="auto" w:fill="FFFFFF"/>
          <w:lang w:val="es-ES"/>
        </w:rPr>
        <w:t>puede concluir que el resultado del análisis efectuado a cada uno de los componentes de este informe refleja que la Entidad viene dando cumplimiento a las medidas de austeridad en el gasto conforme a la normatividad vigente; no obstante en preciso señalar</w:t>
      </w:r>
      <w:r w:rsidR="00780F6F" w:rsidRPr="008D7963">
        <w:rPr>
          <w:rFonts w:cs="Arial"/>
          <w:bCs/>
          <w:sz w:val="22"/>
          <w:shd w:val="clear" w:color="auto" w:fill="FFFFFF"/>
          <w:lang w:val="es-ES"/>
        </w:rPr>
        <w:t xml:space="preserve"> que c</w:t>
      </w:r>
      <w:r w:rsidR="007A50C9" w:rsidRPr="008D7963">
        <w:rPr>
          <w:rFonts w:cs="Arial"/>
          <w:bCs/>
          <w:sz w:val="22"/>
          <w:shd w:val="clear" w:color="auto" w:fill="FFFFFF"/>
          <w:lang w:val="es-ES"/>
        </w:rPr>
        <w:t xml:space="preserve">on ocasión de la </w:t>
      </w:r>
      <w:r w:rsidR="007A50C9" w:rsidRPr="008D7963">
        <w:rPr>
          <w:rFonts w:cs="Arial"/>
          <w:sz w:val="22"/>
          <w:lang w:val="es-419"/>
        </w:rPr>
        <w:t>Emergencia Sanitaria y la medida de aislamiento preventivo obligatorio por la pandemia del Coronavirus COVID-19, los servidores y contratistas se encuentran cumpliendo sus funciones y obligaciones desde el mes de marzo en la modalidad de teletrabajo, razón por la cual en todos los componentes de evaluación se presenta una disminución ostensible</w:t>
      </w:r>
      <w:r w:rsidR="0009429F" w:rsidRPr="008D7963">
        <w:rPr>
          <w:rFonts w:cs="Arial"/>
          <w:sz w:val="22"/>
          <w:lang w:val="es-419"/>
        </w:rPr>
        <w:t xml:space="preserve"> en el gasto.</w:t>
      </w:r>
    </w:p>
    <w:p w14:paraId="6611AA43" w14:textId="77777777" w:rsidR="0009429F" w:rsidRPr="008D7963" w:rsidRDefault="0009429F" w:rsidP="0086488B">
      <w:pPr>
        <w:spacing w:after="0" w:line="240" w:lineRule="auto"/>
        <w:rPr>
          <w:rFonts w:cs="Arial"/>
          <w:sz w:val="22"/>
          <w:lang w:val="es-419"/>
        </w:rPr>
      </w:pPr>
    </w:p>
    <w:p w14:paraId="15A2F90D" w14:textId="24629211" w:rsidR="008E627A" w:rsidRPr="008D7963" w:rsidRDefault="008E627A" w:rsidP="00A61839">
      <w:pPr>
        <w:spacing w:before="60" w:after="60"/>
        <w:rPr>
          <w:rFonts w:cs="Arial"/>
          <w:szCs w:val="24"/>
        </w:rPr>
      </w:pPr>
    </w:p>
    <w:p w14:paraId="394F59BF" w14:textId="3432B9D9" w:rsidR="0009429F" w:rsidRPr="008D7963" w:rsidRDefault="0009429F" w:rsidP="00A61839">
      <w:pPr>
        <w:spacing w:before="60" w:after="60"/>
        <w:rPr>
          <w:rFonts w:cs="Arial"/>
          <w:szCs w:val="24"/>
        </w:rPr>
      </w:pPr>
    </w:p>
    <w:p w14:paraId="19107BEC" w14:textId="77777777" w:rsidR="0009429F" w:rsidRPr="008D7963" w:rsidRDefault="0009429F" w:rsidP="00A61839">
      <w:pPr>
        <w:spacing w:before="60" w:after="60"/>
        <w:rPr>
          <w:rFonts w:cs="Arial"/>
          <w:szCs w:val="24"/>
        </w:rPr>
      </w:pPr>
    </w:p>
    <w:p w14:paraId="759CA912" w14:textId="160F0A8F" w:rsidR="0009429F" w:rsidRPr="008D7963" w:rsidRDefault="0009429F" w:rsidP="00E75C98">
      <w:pPr>
        <w:spacing w:before="60" w:after="60"/>
        <w:jc w:val="center"/>
        <w:rPr>
          <w:rFonts w:cs="Arial"/>
          <w:color w:val="FF0000"/>
          <w:szCs w:val="24"/>
        </w:rPr>
      </w:pPr>
      <w:r w:rsidRPr="008D7963">
        <w:rPr>
          <w:noProof/>
          <w:lang w:val="es-ES" w:eastAsia="es-ES"/>
        </w:rPr>
        <w:drawing>
          <wp:inline distT="0" distB="0" distL="0" distR="0" wp14:anchorId="5A14BC88" wp14:editId="1A16CAF0">
            <wp:extent cx="1490345" cy="34818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756" t="54035" r="44162" b="37814"/>
                    <a:stretch/>
                  </pic:blipFill>
                  <pic:spPr bwMode="auto">
                    <a:xfrm rot="10800000">
                      <a:off x="0" y="0"/>
                      <a:ext cx="1592260" cy="371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C2280" w14:textId="77777777" w:rsidR="00A61839" w:rsidRPr="008D7963" w:rsidRDefault="00A61839" w:rsidP="00A61839">
      <w:pPr>
        <w:spacing w:after="0" w:line="240" w:lineRule="auto"/>
        <w:jc w:val="center"/>
        <w:rPr>
          <w:rFonts w:eastAsia="Times New Roman" w:cs="Arial"/>
          <w:b/>
          <w:bCs/>
          <w:sz w:val="22"/>
        </w:rPr>
      </w:pPr>
      <w:r w:rsidRPr="008D7963">
        <w:rPr>
          <w:rFonts w:eastAsia="Times New Roman" w:cs="Arial"/>
          <w:b/>
          <w:bCs/>
          <w:sz w:val="22"/>
        </w:rPr>
        <w:t>HILDA YAMILE MORALES LAVERDE</w:t>
      </w:r>
    </w:p>
    <w:p w14:paraId="299477FF" w14:textId="0698803D" w:rsidR="00A61839" w:rsidRPr="008D7963" w:rsidRDefault="00A61839" w:rsidP="00A61839">
      <w:pPr>
        <w:spacing w:after="0" w:line="240" w:lineRule="auto"/>
        <w:jc w:val="center"/>
        <w:rPr>
          <w:rFonts w:eastAsia="Times New Roman" w:cs="Arial"/>
          <w:bCs/>
          <w:sz w:val="22"/>
        </w:rPr>
      </w:pPr>
      <w:r w:rsidRPr="008D7963">
        <w:rPr>
          <w:rFonts w:eastAsia="Times New Roman" w:cs="Arial"/>
          <w:bCs/>
          <w:sz w:val="22"/>
        </w:rPr>
        <w:t>Jefe de Control Interno</w:t>
      </w:r>
    </w:p>
    <w:p w14:paraId="237C49A0" w14:textId="77777777" w:rsidR="0009429F" w:rsidRPr="008D7963" w:rsidRDefault="0009429F" w:rsidP="00A61839">
      <w:pPr>
        <w:spacing w:after="0" w:line="240" w:lineRule="auto"/>
        <w:jc w:val="center"/>
        <w:rPr>
          <w:rFonts w:eastAsia="Times New Roman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819"/>
        <w:gridCol w:w="1968"/>
      </w:tblGrid>
      <w:tr w:rsidR="0009429F" w:rsidRPr="008D7963" w14:paraId="763A07BF" w14:textId="77777777" w:rsidTr="0009429F">
        <w:trPr>
          <w:trHeight w:val="163"/>
        </w:trPr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827" w14:textId="77777777" w:rsidR="00A41305" w:rsidRPr="008D7963" w:rsidRDefault="00A41305" w:rsidP="00071C6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963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9F1" w14:textId="77777777" w:rsidR="00A41305" w:rsidRPr="008D7963" w:rsidRDefault="00A41305" w:rsidP="00071C6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963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09429F" w:rsidRPr="008D7963" w14:paraId="7139CECA" w14:textId="77777777" w:rsidTr="0009429F">
        <w:trPr>
          <w:trHeight w:val="168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93E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rFonts w:ascii="Arial" w:hAnsi="Arial" w:cs="Arial"/>
                <w:sz w:val="16"/>
                <w:szCs w:val="16"/>
              </w:rPr>
              <w:t>Aprobó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6EF" w14:textId="3743070F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rFonts w:ascii="Arial" w:hAnsi="Arial" w:cs="Arial"/>
                <w:sz w:val="16"/>
                <w:szCs w:val="16"/>
              </w:rPr>
              <w:t>Hilda Yamile Morales Laverde, Jefe Oficina Control Interno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7E646" w14:textId="16E38BB4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noProof/>
                <w:lang w:val="es-ES" w:eastAsia="es-ES"/>
              </w:rPr>
              <w:drawing>
                <wp:inline distT="0" distB="0" distL="0" distR="0" wp14:anchorId="32733F46" wp14:editId="5CC5BCEC">
                  <wp:extent cx="1109980" cy="2000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2756" t="54035" r="44162" b="37814"/>
                          <a:stretch/>
                        </pic:blipFill>
                        <pic:spPr bwMode="auto">
                          <a:xfrm rot="10800000">
                            <a:off x="0" y="0"/>
                            <a:ext cx="1163691" cy="209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29F" w:rsidRPr="008D7963" w14:paraId="3707B01D" w14:textId="77777777" w:rsidTr="0009429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089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rFonts w:ascii="Arial" w:hAnsi="Arial" w:cs="Arial"/>
                <w:sz w:val="16"/>
                <w:szCs w:val="16"/>
              </w:rPr>
              <w:t>Revisó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A01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rFonts w:ascii="Arial" w:hAnsi="Arial" w:cs="Arial"/>
                <w:sz w:val="16"/>
                <w:szCs w:val="16"/>
              </w:rPr>
              <w:t>Hilda Yamile Morales Laverde, Jefe Oficina Control Interno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360DD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29F" w:rsidRPr="008D7963" w14:paraId="762F61C7" w14:textId="77777777" w:rsidTr="0009429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A5B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7963">
              <w:rPr>
                <w:rFonts w:ascii="Arial" w:hAnsi="Arial" w:cs="Arial"/>
                <w:sz w:val="16"/>
                <w:szCs w:val="16"/>
              </w:rPr>
              <w:t>Elaboró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C63" w14:textId="717FA666" w:rsidR="0009429F" w:rsidRPr="008D7963" w:rsidRDefault="0041267C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419"/>
              </w:rPr>
              <w:t>Martha Cecilia Quintero Barreiro Técnico</w:t>
            </w:r>
            <w:r w:rsidR="0009429F" w:rsidRPr="008D7963">
              <w:rPr>
                <w:rFonts w:ascii="Arial" w:hAnsi="Arial" w:cs="Arial"/>
                <w:sz w:val="16"/>
                <w:szCs w:val="16"/>
              </w:rPr>
              <w:t xml:space="preserve"> Oficina Control Interno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7F3" w14:textId="77777777" w:rsidR="0009429F" w:rsidRPr="008D7963" w:rsidRDefault="0009429F" w:rsidP="00071C6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29F" w:rsidRPr="0009429F" w14:paraId="768850E3" w14:textId="77777777" w:rsidTr="00071C68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A98" w14:textId="77777777" w:rsidR="00A41305" w:rsidRPr="0009429F" w:rsidRDefault="00A41305" w:rsidP="00071C68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r w:rsidRPr="008D7963">
              <w:rPr>
                <w:rFonts w:ascii="Arial" w:hAnsi="Arial" w:cs="Arial"/>
                <w:i/>
                <w:sz w:val="16"/>
                <w:szCs w:val="16"/>
              </w:rPr>
              <w:t>Los arriba firmantes declaramos que hemos revisado el presente documento y lo encontramos ajustado a las normas y disposiciones legales y/o técnicas vigentes</w:t>
            </w:r>
          </w:p>
        </w:tc>
      </w:tr>
    </w:tbl>
    <w:p w14:paraId="29B10BC7" w14:textId="742AFB9C" w:rsidR="00A41305" w:rsidRPr="0041267C" w:rsidRDefault="00A41305" w:rsidP="0009429F">
      <w:pPr>
        <w:rPr>
          <w:rFonts w:cs="Arial"/>
          <w:color w:val="FF0000"/>
          <w:szCs w:val="24"/>
          <w:lang w:val="es-419"/>
        </w:rPr>
      </w:pPr>
    </w:p>
    <w:sectPr w:rsidR="00A41305" w:rsidRPr="0041267C" w:rsidSect="00085264">
      <w:headerReference w:type="default" r:id="rId11"/>
      <w:footerReference w:type="default" r:id="rId12"/>
      <w:pgSz w:w="12240" w:h="15840" w:code="1"/>
      <w:pgMar w:top="1418" w:right="1701" w:bottom="1701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B0A05" w14:textId="77777777" w:rsidR="00F32D6A" w:rsidRDefault="00F32D6A" w:rsidP="00B3628C">
      <w:r>
        <w:separator/>
      </w:r>
    </w:p>
  </w:endnote>
  <w:endnote w:type="continuationSeparator" w:id="0">
    <w:p w14:paraId="2B5BE1C0" w14:textId="77777777" w:rsidR="00F32D6A" w:rsidRDefault="00F32D6A" w:rsidP="00B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4EF0" w14:textId="769EFB9D" w:rsidR="005F7D5F" w:rsidRDefault="005F7D5F" w:rsidP="00B3628C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2EBED2" wp14:editId="4A04761C">
              <wp:simplePos x="0" y="0"/>
              <wp:positionH relativeFrom="column">
                <wp:posOffset>-413385</wp:posOffset>
              </wp:positionH>
              <wp:positionV relativeFrom="paragraph">
                <wp:posOffset>-321945</wp:posOffset>
              </wp:positionV>
              <wp:extent cx="4109085" cy="70866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1562A" w14:textId="77777777" w:rsidR="005F7D5F" w:rsidRPr="009B0E02" w:rsidRDefault="005F7D5F" w:rsidP="009B0E02">
                          <w:pPr>
                            <w:pStyle w:val="Sinespaciad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sz w:val="16"/>
                              <w:szCs w:val="16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6B234B91" w14:textId="77777777" w:rsidR="005F7D5F" w:rsidRPr="009B0E02" w:rsidRDefault="005F7D5F" w:rsidP="009B0E02">
                          <w:pPr>
                            <w:pStyle w:val="Sinespaciad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sz w:val="16"/>
                              <w:szCs w:val="16"/>
                              <w:lang w:val="es-ES"/>
                            </w:rPr>
                            <w:t>Avenida Calle 26 No. 69D - 91. Oficinas 805, 806. Torre 2 - Código Postal: 110931</w:t>
                          </w:r>
                        </w:p>
                        <w:p w14:paraId="4416F05D" w14:textId="77777777" w:rsidR="005F7D5F" w:rsidRPr="009B0E02" w:rsidRDefault="005F7D5F" w:rsidP="009B0E02">
                          <w:pPr>
                            <w:pStyle w:val="Sinespaciad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sz w:val="16"/>
                              <w:szCs w:val="16"/>
                              <w:lang w:val="es-ES"/>
                            </w:rPr>
                            <w:t>PBX (57-1) 263 0603 - Línea de atención al ciudadano 195</w:t>
                          </w:r>
                        </w:p>
                        <w:p w14:paraId="3F0FEED6" w14:textId="77777777" w:rsidR="005F7D5F" w:rsidRPr="009B0E02" w:rsidRDefault="005F7D5F" w:rsidP="009B0E02">
                          <w:pPr>
                            <w:pStyle w:val="Sinespaciado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sz w:val="16"/>
                              <w:szCs w:val="16"/>
                              <w:lang w:val="es-ES"/>
                            </w:rPr>
                            <w:t>Bogotá DC - Colombia</w:t>
                          </w:r>
                        </w:p>
                        <w:p w14:paraId="614A536B" w14:textId="77777777" w:rsidR="005F7D5F" w:rsidRPr="009B0E02" w:rsidRDefault="005F7D5F" w:rsidP="007940A9">
                          <w:pPr>
                            <w:spacing w:line="180" w:lineRule="atLeast"/>
                            <w:rPr>
                              <w:rFonts w:cs="Arial"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rFonts w:cs="Arial"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idep@idep.edu.co</w:t>
                          </w:r>
                        </w:p>
                        <w:p w14:paraId="7B6F1B3D" w14:textId="77777777" w:rsidR="005F7D5F" w:rsidRPr="009B0E02" w:rsidRDefault="005F7D5F" w:rsidP="007940A9">
                          <w:pPr>
                            <w:spacing w:line="180" w:lineRule="atLeast"/>
                            <w:rPr>
                              <w:rFonts w:cs="Arial"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9B0E02">
                            <w:rPr>
                              <w:rFonts w:cs="Arial"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www.idep.edu.co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62EBE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25.35pt;width:323.55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pwBwIAAO8DAAAOAAAAZHJzL2Uyb0RvYy54bWysU8Fu2zAMvQ/YPwi6L3aCNG2NOEWXIsOA&#10;bh3Q7gNkWbaFyaJGKbGzrx8lp1m23YbpIIgi+cT3SK3vxt6wg0KvwZZ8Pss5U1ZCrW1b8q8vu3c3&#10;nPkgbC0MWFXyo/L8bvP2zXpwhVpAB6ZWyAjE+mJwJe9CcEWWedmpXvgZOGXJ2QD2IpCJbVajGAi9&#10;N9kiz1fZAFg7BKm8p9uHyck3Cb9plAxPTeNVYKbkVFtIO6a9inu2WYuiReE6LU9liH+oohfa0qNn&#10;qAcRBNuj/guq1xLBQxNmEvoMmkZLlTgQm3n+B5vnTjiVuJA43p1l8v8PVn4+fEGm65IvOLOipxa9&#10;qDGw9zCyeVRncL6goGdHYWGka+pyYurdI8hvnlnYdsK26h4Rhk6JmqpLmdlF6oTjI0g1fIKanhH7&#10;AAlobLCP0pEYjNCpS8dzZ2Ipki6X8/w2v7niTJLvOr9ZrVLrMlG8Zjv04YOCnsVDyZE6n9DF4dEH&#10;4kGhryHxMQ9G1zttTDKwrbYG2UHQlOzSitQp5bcwY2OwhZg2ueNNohmZTRzDWI0n2Sqoj0QYYZo6&#10;+iV06AB/cDbQxJXcf98LVJyZj5ZEu50vl3FEk7G8ul6QgZee6tIjrCSokgfOpuM2TGO9d6jbjl6a&#10;2mThnoRudNIgdmSq6lQ3TVXiefoBcWwv7RT1659ufgIAAP//AwBQSwMEFAAGAAgAAAAhAHOdmM/f&#10;AAAACgEAAA8AAABkcnMvZG93bnJldi54bWxMj8tOwzAQRfdI/IM1SGxQa7ciSRviVIAEYtvHBzjx&#10;NImIx1HsNunfM6xgN6M5unNusZtdL644hs6ThtVSgUCqve2o0XA6fiw2IEI0ZE3vCTXcMMCuvL8r&#10;TG79RHu8HmIjOIRCbjS0MQ65lKFu0Zmw9AMS385+dCbyOjbSjmbicNfLtVKpdKYj/tCaAd9brL8P&#10;F6fh/DU9Jdup+oynbP+cvpkuq/xN68eH+fUFRMQ5/sHwq8/qULJT5S9kg+g1LNJkxSgPicpAMJFs&#10;1tyu0pCqLciykP8rlD8AAAD//wMAUEsBAi0AFAAGAAgAAAAhALaDOJL+AAAA4QEAABMAAAAAAAAA&#10;AAAAAAAAAAAAAFtDb250ZW50X1R5cGVzXS54bWxQSwECLQAUAAYACAAAACEAOP0h/9YAAACUAQAA&#10;CwAAAAAAAAAAAAAAAAAvAQAAX3JlbHMvLnJlbHNQSwECLQAUAAYACAAAACEAaQx6cAcCAADvAwAA&#10;DgAAAAAAAAAAAAAAAAAuAgAAZHJzL2Uyb0RvYy54bWxQSwECLQAUAAYACAAAACEAc52Yz98AAAAK&#10;AQAADwAAAAAAAAAAAAAAAABhBAAAZHJzL2Rvd25yZXYueG1sUEsFBgAAAAAEAAQA8wAAAG0FAAAA&#10;AA==&#10;" stroked="f">
              <v:textbox>
                <w:txbxContent>
                  <w:p w14:paraId="2311562A" w14:textId="77777777" w:rsidR="00123618" w:rsidRPr="009B0E02" w:rsidRDefault="00123618" w:rsidP="009B0E02">
                    <w:pPr>
                      <w:pStyle w:val="Sinespaciado"/>
                      <w:rPr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sz w:val="16"/>
                        <w:szCs w:val="16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6B234B91" w14:textId="77777777" w:rsidR="00123618" w:rsidRPr="009B0E02" w:rsidRDefault="00123618" w:rsidP="009B0E02">
                    <w:pPr>
                      <w:pStyle w:val="Sinespaciado"/>
                      <w:rPr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sz w:val="16"/>
                        <w:szCs w:val="16"/>
                        <w:lang w:val="es-ES"/>
                      </w:rPr>
                      <w:t>Avenida Calle 26 No. 69D - 91. Oficinas 805, 806. Torre 2 - Código Postal: 110931</w:t>
                    </w:r>
                  </w:p>
                  <w:p w14:paraId="4416F05D" w14:textId="77777777" w:rsidR="00123618" w:rsidRPr="009B0E02" w:rsidRDefault="00123618" w:rsidP="009B0E02">
                    <w:pPr>
                      <w:pStyle w:val="Sinespaciado"/>
                      <w:rPr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sz w:val="16"/>
                        <w:szCs w:val="16"/>
                        <w:lang w:val="es-ES"/>
                      </w:rPr>
                      <w:t>PBX (57-1) 263 0603 - Línea de atención al ciudadano 195</w:t>
                    </w:r>
                  </w:p>
                  <w:p w14:paraId="3F0FEED6" w14:textId="77777777" w:rsidR="00123618" w:rsidRPr="009B0E02" w:rsidRDefault="00123618" w:rsidP="009B0E02">
                    <w:pPr>
                      <w:pStyle w:val="Sinespaciado"/>
                      <w:rPr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sz w:val="16"/>
                        <w:szCs w:val="16"/>
                        <w:lang w:val="es-ES"/>
                      </w:rPr>
                      <w:t>Bogotá DC - Colombia</w:t>
                    </w:r>
                  </w:p>
                  <w:p w14:paraId="614A536B" w14:textId="77777777" w:rsidR="00123618" w:rsidRPr="009B0E02" w:rsidRDefault="00123618" w:rsidP="007940A9">
                    <w:pPr>
                      <w:spacing w:line="180" w:lineRule="atLeast"/>
                      <w:rPr>
                        <w:rFonts w:cs="Arial"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rFonts w:cs="Arial"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idep@idep.edu.co</w:t>
                    </w:r>
                  </w:p>
                  <w:p w14:paraId="7B6F1B3D" w14:textId="77777777" w:rsidR="00123618" w:rsidRPr="009B0E02" w:rsidRDefault="00123618" w:rsidP="007940A9">
                    <w:pPr>
                      <w:spacing w:line="180" w:lineRule="atLeast"/>
                      <w:rPr>
                        <w:rFonts w:cs="Arial"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 w:rsidRPr="009B0E02">
                      <w:rPr>
                        <w:rFonts w:cs="Arial"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www.idep.edu.co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DCC61D" wp14:editId="3B22F4D3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A7F8A" w14:textId="77777777" w:rsidR="005F7D5F" w:rsidRDefault="005F7D5F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BB1EBAE" wp14:editId="43AB3280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9DCC61D" id="Cuadro de texto 2" o:spid="_x0000_s1027" type="#_x0000_t202" style="position:absolute;left:0;text-align:left;margin-left:299.7pt;margin-top:-35.1pt;width:17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/EgIAAAI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cPxZVdPlVTWnhGNuMa9mi3luwern086H+EmCISlo&#10;qEcLZHR2eAgxTcPq55LUzMK90jrbQFvSN3Q5R/hXGaMiulQr09DrMn2jbxLJj1bkw5EpPcbYQNsT&#10;60R0pByH7ZB1zpIkRbYgjiiDh9GU+Igw6MD/oaRHQzY0/N4zLynRny1KuZzOZsnBeTObLyrc+MvM&#10;9jLDLEeohkZKxnATs+tHYrcoeauyGi+TnEZGo2WRTo8iOflyn6tenu76CQAA//8DAFBLAwQUAAYA&#10;CAAAACEAGUkO7N8AAAAKAQAADwAAAGRycy9kb3ducmV2LnhtbEyPy07DMBBF90j8gzVI7FqbkkIc&#10;MqkQiC2o5SGxc+NpEhGPo9htwt9jVrAc3aN7z5Sb2fXiRGPoPCNcLRUI4trbjhuEt9enRQ4iRMPW&#10;9J4J4ZsCbKrzs9IU1k+8pdMuNiKVcCgMQhvjUEgZ6pacCUs/EKfs4EdnYjrHRtrRTKnc9XKl1I10&#10;puO00JqBHlqqv3ZHh/D+fPj8yNRL8+jWw+RnJdlpiXh5Md/fgYg0xz8YfvWTOlTJae+PbIPoEdZa&#10;ZwlFWNyqFYhE6CzXIPYIWX4Nsirl/xeqHwAAAP//AwBQSwECLQAUAAYACAAAACEAtoM4kv4AAADh&#10;AQAAEwAAAAAAAAAAAAAAAAAAAAAAW0NvbnRlbnRfVHlwZXNdLnhtbFBLAQItABQABgAIAAAAIQA4&#10;/SH/1gAAAJQBAAALAAAAAAAAAAAAAAAAAC8BAABfcmVscy8ucmVsc1BLAQItABQABgAIAAAAIQDf&#10;mLu/EgIAAAIEAAAOAAAAAAAAAAAAAAAAAC4CAABkcnMvZTJvRG9jLnhtbFBLAQItABQABgAIAAAA&#10;IQAZSQ7s3wAAAAoBAAAPAAAAAAAAAAAAAAAAAGwEAABkcnMvZG93bnJldi54bWxQSwUGAAAAAAQA&#10;BADzAAAAeAUAAAAA&#10;" filled="f" stroked="f">
              <v:textbox>
                <w:txbxContent>
                  <w:p w14:paraId="5CFA7F8A" w14:textId="77777777" w:rsidR="00123618" w:rsidRDefault="00123618">
                    <w:r>
                      <w:rPr>
                        <w:noProof/>
                      </w:rPr>
                      <w:drawing>
                        <wp:inline distT="0" distB="0" distL="0" distR="0" wp14:anchorId="0BB1EBAE" wp14:editId="43AB3280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A0D84" w14:textId="77777777" w:rsidR="00F32D6A" w:rsidRDefault="00F32D6A" w:rsidP="00B3628C">
      <w:r>
        <w:separator/>
      </w:r>
    </w:p>
  </w:footnote>
  <w:footnote w:type="continuationSeparator" w:id="0">
    <w:p w14:paraId="4821427D" w14:textId="77777777" w:rsidR="00F32D6A" w:rsidRDefault="00F32D6A" w:rsidP="00B3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7D888" w14:textId="77777777" w:rsidR="005F7D5F" w:rsidRDefault="005F7D5F" w:rsidP="0043760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CADAB17" wp14:editId="6D895DB4">
          <wp:extent cx="866775" cy="813552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cadíaMayor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80" cy="832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4B2"/>
    <w:multiLevelType w:val="hybridMultilevel"/>
    <w:tmpl w:val="23168A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AF1"/>
    <w:multiLevelType w:val="multilevel"/>
    <w:tmpl w:val="CBDAF4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671A9"/>
    <w:multiLevelType w:val="hybridMultilevel"/>
    <w:tmpl w:val="84E48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07EB"/>
    <w:multiLevelType w:val="hybridMultilevel"/>
    <w:tmpl w:val="54EA07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531"/>
    <w:multiLevelType w:val="multilevel"/>
    <w:tmpl w:val="ADA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C462C"/>
    <w:multiLevelType w:val="multilevel"/>
    <w:tmpl w:val="942847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3E29F5"/>
    <w:multiLevelType w:val="multilevel"/>
    <w:tmpl w:val="BD364F5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10673C"/>
    <w:multiLevelType w:val="hybridMultilevel"/>
    <w:tmpl w:val="5D60A02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2C22A3"/>
    <w:multiLevelType w:val="multilevel"/>
    <w:tmpl w:val="F1841E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2541F6"/>
    <w:multiLevelType w:val="multilevel"/>
    <w:tmpl w:val="99A27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9B1D84"/>
    <w:multiLevelType w:val="multilevel"/>
    <w:tmpl w:val="E958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96050E"/>
    <w:multiLevelType w:val="multilevel"/>
    <w:tmpl w:val="99A27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6508C8"/>
    <w:multiLevelType w:val="hybridMultilevel"/>
    <w:tmpl w:val="551C9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0C67"/>
    <w:multiLevelType w:val="hybridMultilevel"/>
    <w:tmpl w:val="F70642EC"/>
    <w:lvl w:ilvl="0" w:tplc="24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4" w15:restartNumberingAfterBreak="0">
    <w:nsid w:val="59E03E77"/>
    <w:multiLevelType w:val="hybridMultilevel"/>
    <w:tmpl w:val="12A83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C7F06"/>
    <w:multiLevelType w:val="multilevel"/>
    <w:tmpl w:val="9C68AC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4133C9"/>
    <w:multiLevelType w:val="hybridMultilevel"/>
    <w:tmpl w:val="FCC49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0"/>
  </w:num>
  <w:num w:numId="12">
    <w:abstractNumId w:val="4"/>
  </w:num>
  <w:num w:numId="13">
    <w:abstractNumId w:val="5"/>
  </w:num>
  <w:num w:numId="14">
    <w:abstractNumId w:val="14"/>
  </w:num>
  <w:num w:numId="15">
    <w:abstractNumId w:val="1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9"/>
    <w:rsid w:val="00006D3E"/>
    <w:rsid w:val="0001011B"/>
    <w:rsid w:val="000102E2"/>
    <w:rsid w:val="00014B19"/>
    <w:rsid w:val="00020141"/>
    <w:rsid w:val="00020843"/>
    <w:rsid w:val="000270B1"/>
    <w:rsid w:val="00027EBA"/>
    <w:rsid w:val="000300F5"/>
    <w:rsid w:val="000343CF"/>
    <w:rsid w:val="000516D0"/>
    <w:rsid w:val="00052C16"/>
    <w:rsid w:val="000530A2"/>
    <w:rsid w:val="0005599A"/>
    <w:rsid w:val="00061D22"/>
    <w:rsid w:val="0006481E"/>
    <w:rsid w:val="00071C68"/>
    <w:rsid w:val="0007763E"/>
    <w:rsid w:val="0008046A"/>
    <w:rsid w:val="00085264"/>
    <w:rsid w:val="0009429F"/>
    <w:rsid w:val="000A24BB"/>
    <w:rsid w:val="000C76F3"/>
    <w:rsid w:val="000E0CE3"/>
    <w:rsid w:val="000E1BB8"/>
    <w:rsid w:val="000F0830"/>
    <w:rsid w:val="00102E77"/>
    <w:rsid w:val="00123618"/>
    <w:rsid w:val="00126D87"/>
    <w:rsid w:val="001374C0"/>
    <w:rsid w:val="0014004D"/>
    <w:rsid w:val="00145F55"/>
    <w:rsid w:val="00150CF4"/>
    <w:rsid w:val="00163110"/>
    <w:rsid w:val="00172C2A"/>
    <w:rsid w:val="00174AEC"/>
    <w:rsid w:val="00176D01"/>
    <w:rsid w:val="00182715"/>
    <w:rsid w:val="00187248"/>
    <w:rsid w:val="00194265"/>
    <w:rsid w:val="001A3784"/>
    <w:rsid w:val="001C043F"/>
    <w:rsid w:val="001C36D2"/>
    <w:rsid w:val="001C4139"/>
    <w:rsid w:val="001D16E3"/>
    <w:rsid w:val="001E67AA"/>
    <w:rsid w:val="001F42BE"/>
    <w:rsid w:val="001F6FFC"/>
    <w:rsid w:val="00202233"/>
    <w:rsid w:val="00203579"/>
    <w:rsid w:val="002133FA"/>
    <w:rsid w:val="002272AC"/>
    <w:rsid w:val="00231A66"/>
    <w:rsid w:val="00234197"/>
    <w:rsid w:val="00242AB6"/>
    <w:rsid w:val="002443EA"/>
    <w:rsid w:val="00253B09"/>
    <w:rsid w:val="00256E79"/>
    <w:rsid w:val="00257233"/>
    <w:rsid w:val="0026611D"/>
    <w:rsid w:val="00275FB5"/>
    <w:rsid w:val="00277A7B"/>
    <w:rsid w:val="00282730"/>
    <w:rsid w:val="00286A18"/>
    <w:rsid w:val="00287A4E"/>
    <w:rsid w:val="002943A4"/>
    <w:rsid w:val="002976E3"/>
    <w:rsid w:val="002A0E3F"/>
    <w:rsid w:val="002B2767"/>
    <w:rsid w:val="002B7A27"/>
    <w:rsid w:val="002C3084"/>
    <w:rsid w:val="002C3F9F"/>
    <w:rsid w:val="002D4B43"/>
    <w:rsid w:val="002E1C1E"/>
    <w:rsid w:val="002E7D81"/>
    <w:rsid w:val="00307449"/>
    <w:rsid w:val="00315A0D"/>
    <w:rsid w:val="00330E62"/>
    <w:rsid w:val="00332016"/>
    <w:rsid w:val="00334B68"/>
    <w:rsid w:val="00345961"/>
    <w:rsid w:val="0034643C"/>
    <w:rsid w:val="00355664"/>
    <w:rsid w:val="00355F7B"/>
    <w:rsid w:val="003566E0"/>
    <w:rsid w:val="00356D84"/>
    <w:rsid w:val="0036648A"/>
    <w:rsid w:val="003720CD"/>
    <w:rsid w:val="00374B9B"/>
    <w:rsid w:val="00374E65"/>
    <w:rsid w:val="00384150"/>
    <w:rsid w:val="003941A6"/>
    <w:rsid w:val="003A3735"/>
    <w:rsid w:val="003A6D33"/>
    <w:rsid w:val="003B618C"/>
    <w:rsid w:val="003C650A"/>
    <w:rsid w:val="003C7E99"/>
    <w:rsid w:val="003D0C53"/>
    <w:rsid w:val="003D2AD1"/>
    <w:rsid w:val="003D4787"/>
    <w:rsid w:val="003E0374"/>
    <w:rsid w:val="003E7627"/>
    <w:rsid w:val="003E7A73"/>
    <w:rsid w:val="003F7BCF"/>
    <w:rsid w:val="00404207"/>
    <w:rsid w:val="0041267C"/>
    <w:rsid w:val="00412B7A"/>
    <w:rsid w:val="00417EF6"/>
    <w:rsid w:val="00437609"/>
    <w:rsid w:val="00444C12"/>
    <w:rsid w:val="00465973"/>
    <w:rsid w:val="00467734"/>
    <w:rsid w:val="0047052F"/>
    <w:rsid w:val="00470AE4"/>
    <w:rsid w:val="00472BE4"/>
    <w:rsid w:val="00473FBB"/>
    <w:rsid w:val="00493022"/>
    <w:rsid w:val="00493E1D"/>
    <w:rsid w:val="00494184"/>
    <w:rsid w:val="00495F33"/>
    <w:rsid w:val="004971EF"/>
    <w:rsid w:val="004A0A0B"/>
    <w:rsid w:val="004C3321"/>
    <w:rsid w:val="004C687F"/>
    <w:rsid w:val="004C68B6"/>
    <w:rsid w:val="004C6ADF"/>
    <w:rsid w:val="004D021F"/>
    <w:rsid w:val="004D13A0"/>
    <w:rsid w:val="004D1AAE"/>
    <w:rsid w:val="004E77D3"/>
    <w:rsid w:val="004E7B55"/>
    <w:rsid w:val="004F1EC0"/>
    <w:rsid w:val="004F3FC8"/>
    <w:rsid w:val="005031D1"/>
    <w:rsid w:val="00506B88"/>
    <w:rsid w:val="00526494"/>
    <w:rsid w:val="005268AD"/>
    <w:rsid w:val="005328A7"/>
    <w:rsid w:val="0056135A"/>
    <w:rsid w:val="00562087"/>
    <w:rsid w:val="00566962"/>
    <w:rsid w:val="00587A97"/>
    <w:rsid w:val="00596A36"/>
    <w:rsid w:val="005A4EA4"/>
    <w:rsid w:val="005B5FEE"/>
    <w:rsid w:val="005D23F8"/>
    <w:rsid w:val="005D2680"/>
    <w:rsid w:val="005E26D9"/>
    <w:rsid w:val="005F2A4B"/>
    <w:rsid w:val="005F4EB1"/>
    <w:rsid w:val="005F7D5F"/>
    <w:rsid w:val="00600113"/>
    <w:rsid w:val="00614B8B"/>
    <w:rsid w:val="0062698F"/>
    <w:rsid w:val="00626D82"/>
    <w:rsid w:val="00640249"/>
    <w:rsid w:val="006435C4"/>
    <w:rsid w:val="00645CAA"/>
    <w:rsid w:val="006673B9"/>
    <w:rsid w:val="006720EC"/>
    <w:rsid w:val="00674EF1"/>
    <w:rsid w:val="00680010"/>
    <w:rsid w:val="006912FE"/>
    <w:rsid w:val="006921B5"/>
    <w:rsid w:val="0069418E"/>
    <w:rsid w:val="00694978"/>
    <w:rsid w:val="006C46AF"/>
    <w:rsid w:val="006E0B15"/>
    <w:rsid w:val="006E4D7B"/>
    <w:rsid w:val="006E5790"/>
    <w:rsid w:val="006E57A9"/>
    <w:rsid w:val="006E667A"/>
    <w:rsid w:val="006F3F7B"/>
    <w:rsid w:val="0071392A"/>
    <w:rsid w:val="00721F08"/>
    <w:rsid w:val="00724322"/>
    <w:rsid w:val="00733938"/>
    <w:rsid w:val="00743A03"/>
    <w:rsid w:val="00763094"/>
    <w:rsid w:val="00765653"/>
    <w:rsid w:val="00766EB5"/>
    <w:rsid w:val="00774FCC"/>
    <w:rsid w:val="00780F6F"/>
    <w:rsid w:val="0078459F"/>
    <w:rsid w:val="007940A9"/>
    <w:rsid w:val="007948B2"/>
    <w:rsid w:val="007A4BDF"/>
    <w:rsid w:val="007A50C9"/>
    <w:rsid w:val="007A61C3"/>
    <w:rsid w:val="007B3298"/>
    <w:rsid w:val="007B4E5A"/>
    <w:rsid w:val="007C0CDC"/>
    <w:rsid w:val="007D0B7B"/>
    <w:rsid w:val="007D56F0"/>
    <w:rsid w:val="007D667A"/>
    <w:rsid w:val="007E148C"/>
    <w:rsid w:val="007F1107"/>
    <w:rsid w:val="007F50C6"/>
    <w:rsid w:val="00800A0A"/>
    <w:rsid w:val="00803E1B"/>
    <w:rsid w:val="00843395"/>
    <w:rsid w:val="00845897"/>
    <w:rsid w:val="0085219E"/>
    <w:rsid w:val="0086488B"/>
    <w:rsid w:val="008732E4"/>
    <w:rsid w:val="008941A5"/>
    <w:rsid w:val="0089628C"/>
    <w:rsid w:val="008B0327"/>
    <w:rsid w:val="008B1428"/>
    <w:rsid w:val="008B54FB"/>
    <w:rsid w:val="008C001D"/>
    <w:rsid w:val="008C4FCA"/>
    <w:rsid w:val="008D1826"/>
    <w:rsid w:val="008D510B"/>
    <w:rsid w:val="008D7963"/>
    <w:rsid w:val="008E627A"/>
    <w:rsid w:val="008E63C9"/>
    <w:rsid w:val="008E6776"/>
    <w:rsid w:val="008F14EB"/>
    <w:rsid w:val="008F2138"/>
    <w:rsid w:val="008F6C29"/>
    <w:rsid w:val="009000A8"/>
    <w:rsid w:val="00913704"/>
    <w:rsid w:val="0091517E"/>
    <w:rsid w:val="00915CBE"/>
    <w:rsid w:val="00921DFA"/>
    <w:rsid w:val="00924E4D"/>
    <w:rsid w:val="00933015"/>
    <w:rsid w:val="009366C2"/>
    <w:rsid w:val="00940ED4"/>
    <w:rsid w:val="00946B04"/>
    <w:rsid w:val="00951B73"/>
    <w:rsid w:val="00983E5B"/>
    <w:rsid w:val="00985FE5"/>
    <w:rsid w:val="00986142"/>
    <w:rsid w:val="00987F16"/>
    <w:rsid w:val="00992CE7"/>
    <w:rsid w:val="0099678D"/>
    <w:rsid w:val="009B0E02"/>
    <w:rsid w:val="009C3F28"/>
    <w:rsid w:val="009D425B"/>
    <w:rsid w:val="009D492C"/>
    <w:rsid w:val="009D5BE7"/>
    <w:rsid w:val="009D5CE7"/>
    <w:rsid w:val="009E3646"/>
    <w:rsid w:val="009F42F4"/>
    <w:rsid w:val="009F5BBE"/>
    <w:rsid w:val="00A04B28"/>
    <w:rsid w:val="00A10390"/>
    <w:rsid w:val="00A24187"/>
    <w:rsid w:val="00A30BA2"/>
    <w:rsid w:val="00A31A0E"/>
    <w:rsid w:val="00A355EC"/>
    <w:rsid w:val="00A41305"/>
    <w:rsid w:val="00A441EC"/>
    <w:rsid w:val="00A44DCA"/>
    <w:rsid w:val="00A51223"/>
    <w:rsid w:val="00A55B48"/>
    <w:rsid w:val="00A57F1E"/>
    <w:rsid w:val="00A61839"/>
    <w:rsid w:val="00A67B62"/>
    <w:rsid w:val="00A848B5"/>
    <w:rsid w:val="00AB1558"/>
    <w:rsid w:val="00AB17B2"/>
    <w:rsid w:val="00AB581F"/>
    <w:rsid w:val="00AC5C54"/>
    <w:rsid w:val="00AC6298"/>
    <w:rsid w:val="00AC62FB"/>
    <w:rsid w:val="00AD3F78"/>
    <w:rsid w:val="00AD5B28"/>
    <w:rsid w:val="00AD7A84"/>
    <w:rsid w:val="00AD7FFA"/>
    <w:rsid w:val="00AE2FBE"/>
    <w:rsid w:val="00AF27B5"/>
    <w:rsid w:val="00AF533F"/>
    <w:rsid w:val="00B3628C"/>
    <w:rsid w:val="00B40CA7"/>
    <w:rsid w:val="00B55DB3"/>
    <w:rsid w:val="00B6714E"/>
    <w:rsid w:val="00B81BFB"/>
    <w:rsid w:val="00B86D86"/>
    <w:rsid w:val="00B90221"/>
    <w:rsid w:val="00BA2175"/>
    <w:rsid w:val="00BA4E31"/>
    <w:rsid w:val="00BA7793"/>
    <w:rsid w:val="00BB21DD"/>
    <w:rsid w:val="00BC5533"/>
    <w:rsid w:val="00BC557D"/>
    <w:rsid w:val="00BC76AC"/>
    <w:rsid w:val="00BD0EAD"/>
    <w:rsid w:val="00BD21CA"/>
    <w:rsid w:val="00BD46DB"/>
    <w:rsid w:val="00BD79E3"/>
    <w:rsid w:val="00BD7EE5"/>
    <w:rsid w:val="00BE1DD9"/>
    <w:rsid w:val="00BF5EFD"/>
    <w:rsid w:val="00C05436"/>
    <w:rsid w:val="00C10CE3"/>
    <w:rsid w:val="00C22FF5"/>
    <w:rsid w:val="00C27911"/>
    <w:rsid w:val="00C320CC"/>
    <w:rsid w:val="00C34F2A"/>
    <w:rsid w:val="00C35CFD"/>
    <w:rsid w:val="00C41DAE"/>
    <w:rsid w:val="00C50844"/>
    <w:rsid w:val="00C523BA"/>
    <w:rsid w:val="00C643D8"/>
    <w:rsid w:val="00C652EA"/>
    <w:rsid w:val="00C70F43"/>
    <w:rsid w:val="00C9165A"/>
    <w:rsid w:val="00CA3D52"/>
    <w:rsid w:val="00CB0727"/>
    <w:rsid w:val="00CB77FC"/>
    <w:rsid w:val="00CC638A"/>
    <w:rsid w:val="00CE277F"/>
    <w:rsid w:val="00D10C30"/>
    <w:rsid w:val="00D14F9C"/>
    <w:rsid w:val="00D21ADA"/>
    <w:rsid w:val="00D26CBC"/>
    <w:rsid w:val="00D27982"/>
    <w:rsid w:val="00D630E5"/>
    <w:rsid w:val="00D66C2C"/>
    <w:rsid w:val="00D66FC3"/>
    <w:rsid w:val="00D7090C"/>
    <w:rsid w:val="00D74842"/>
    <w:rsid w:val="00D755E8"/>
    <w:rsid w:val="00D808C7"/>
    <w:rsid w:val="00D86A45"/>
    <w:rsid w:val="00D90EC8"/>
    <w:rsid w:val="00D936F1"/>
    <w:rsid w:val="00D93ED1"/>
    <w:rsid w:val="00D97263"/>
    <w:rsid w:val="00DA1222"/>
    <w:rsid w:val="00DA1A37"/>
    <w:rsid w:val="00DB123C"/>
    <w:rsid w:val="00DB1848"/>
    <w:rsid w:val="00DB5033"/>
    <w:rsid w:val="00DB5678"/>
    <w:rsid w:val="00DB5F7B"/>
    <w:rsid w:val="00DC0228"/>
    <w:rsid w:val="00DC0E72"/>
    <w:rsid w:val="00DC35F7"/>
    <w:rsid w:val="00DD29F4"/>
    <w:rsid w:val="00DE4AC2"/>
    <w:rsid w:val="00DE600B"/>
    <w:rsid w:val="00DE7B41"/>
    <w:rsid w:val="00DF1159"/>
    <w:rsid w:val="00DF5C7B"/>
    <w:rsid w:val="00E035D8"/>
    <w:rsid w:val="00E03C20"/>
    <w:rsid w:val="00E05992"/>
    <w:rsid w:val="00E2108B"/>
    <w:rsid w:val="00E27CF6"/>
    <w:rsid w:val="00E363BA"/>
    <w:rsid w:val="00E3744F"/>
    <w:rsid w:val="00E37868"/>
    <w:rsid w:val="00E4388C"/>
    <w:rsid w:val="00E5192A"/>
    <w:rsid w:val="00E64075"/>
    <w:rsid w:val="00E65065"/>
    <w:rsid w:val="00E661B2"/>
    <w:rsid w:val="00E75C98"/>
    <w:rsid w:val="00E7718F"/>
    <w:rsid w:val="00E80B27"/>
    <w:rsid w:val="00E85D21"/>
    <w:rsid w:val="00E913D6"/>
    <w:rsid w:val="00EA309C"/>
    <w:rsid w:val="00EB03E1"/>
    <w:rsid w:val="00EB33A7"/>
    <w:rsid w:val="00EC45C6"/>
    <w:rsid w:val="00EC6E1F"/>
    <w:rsid w:val="00ED425D"/>
    <w:rsid w:val="00ED49B4"/>
    <w:rsid w:val="00ED78DE"/>
    <w:rsid w:val="00F011F3"/>
    <w:rsid w:val="00F02526"/>
    <w:rsid w:val="00F115AD"/>
    <w:rsid w:val="00F20007"/>
    <w:rsid w:val="00F2374E"/>
    <w:rsid w:val="00F32D6A"/>
    <w:rsid w:val="00F43B0C"/>
    <w:rsid w:val="00F43FE8"/>
    <w:rsid w:val="00F45F10"/>
    <w:rsid w:val="00F51FE5"/>
    <w:rsid w:val="00F51FFD"/>
    <w:rsid w:val="00F52B8A"/>
    <w:rsid w:val="00F53873"/>
    <w:rsid w:val="00F6187E"/>
    <w:rsid w:val="00F64713"/>
    <w:rsid w:val="00F6601C"/>
    <w:rsid w:val="00F66EFA"/>
    <w:rsid w:val="00F67644"/>
    <w:rsid w:val="00F7097A"/>
    <w:rsid w:val="00F8198B"/>
    <w:rsid w:val="00F85115"/>
    <w:rsid w:val="00F97609"/>
    <w:rsid w:val="00FC4B97"/>
    <w:rsid w:val="00FD2E20"/>
    <w:rsid w:val="00FD7F19"/>
    <w:rsid w:val="00FE3A86"/>
    <w:rsid w:val="00FE67AE"/>
    <w:rsid w:val="00FF35DC"/>
    <w:rsid w:val="00FF434C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684412"/>
  <w15:docId w15:val="{E85CB0D7-6F73-4DAC-B9AA-C322135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39"/>
    <w:pPr>
      <w:jc w:val="both"/>
    </w:pPr>
    <w:rPr>
      <w:rFonts w:ascii="Arial" w:eastAsiaTheme="minorEastAsia" w:hAnsi="Arial"/>
      <w:sz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1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1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28C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618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61839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s-CO"/>
    </w:rPr>
  </w:style>
  <w:style w:type="paragraph" w:styleId="Prrafodelista">
    <w:name w:val="List Paragraph"/>
    <w:aliases w:val="Párrafo de lista en tabla de sistematización,List Paragraph"/>
    <w:basedOn w:val="Normal"/>
    <w:uiPriority w:val="34"/>
    <w:qFormat/>
    <w:rsid w:val="00A61839"/>
    <w:pPr>
      <w:ind w:left="720"/>
      <w:contextualSpacing/>
    </w:pPr>
  </w:style>
  <w:style w:type="paragraph" w:styleId="Sinespaciado">
    <w:name w:val="No Spacing"/>
    <w:uiPriority w:val="1"/>
    <w:qFormat/>
    <w:rsid w:val="00A61839"/>
    <w:pPr>
      <w:spacing w:after="0" w:line="240" w:lineRule="auto"/>
    </w:pPr>
    <w:rPr>
      <w:rFonts w:eastAsiaTheme="minorEastAsia"/>
      <w:lang w:eastAsia="es-CO"/>
    </w:rPr>
  </w:style>
  <w:style w:type="paragraph" w:customStyle="1" w:styleId="Default">
    <w:name w:val="Default"/>
    <w:rsid w:val="00A61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A6183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1839"/>
    <w:rPr>
      <w:rFonts w:ascii="Arial" w:eastAsiaTheme="minorEastAsia" w:hAnsi="Arial"/>
      <w:sz w:val="24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18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1839"/>
    <w:rPr>
      <w:rFonts w:ascii="Arial" w:eastAsiaTheme="minorEastAsia" w:hAnsi="Arial"/>
      <w:sz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6183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61839"/>
    <w:rPr>
      <w:rFonts w:ascii="Arial" w:eastAsiaTheme="minorEastAsia" w:hAnsi="Arial"/>
      <w:sz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D16E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208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8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843"/>
    <w:rPr>
      <w:rFonts w:ascii="Arial" w:eastAsiaTheme="minorEastAsia" w:hAnsi="Arial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8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843"/>
    <w:rPr>
      <w:rFonts w:ascii="Arial" w:eastAsiaTheme="minorEastAsia" w:hAnsi="Arial"/>
      <w:b/>
      <w:bCs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9D5C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76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sites/default/files/PL-GTH-13-03%20Plan%20de%20Bienestar%20e%20incentivos%20V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p.edu.co/?q=content/gth-13-proceso-de-gesti%C3%B3n-de-talento-huma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idep.edu.co/sites/default/files/PL-GRF-11-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3485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22608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Martha Cecilia Quintero Barreiro</dc:creator>
  <cp:keywords>IDEP/Formato tamaño carta</cp:keywords>
  <dc:description/>
  <cp:lastModifiedBy>Idep</cp:lastModifiedBy>
  <cp:revision>8</cp:revision>
  <cp:lastPrinted>2020-04-27T21:00:00Z</cp:lastPrinted>
  <dcterms:created xsi:type="dcterms:W3CDTF">2020-11-06T18:04:00Z</dcterms:created>
  <dcterms:modified xsi:type="dcterms:W3CDTF">2020-11-06T21:22:00Z</dcterms:modified>
</cp:coreProperties>
</file>