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01D" w:rsidRDefault="0034129A">
      <w:pPr>
        <w:spacing w:after="176" w:line="259" w:lineRule="auto"/>
        <w:ind w:left="0" w:firstLine="0"/>
        <w:jc w:val="left"/>
      </w:pPr>
      <w:r>
        <w:rPr>
          <w:rFonts w:ascii="Times New Roman" w:eastAsia="Times New Roman" w:hAnsi="Times New Roman" w:cs="Times New Roman"/>
          <w:sz w:val="14"/>
        </w:rPr>
        <w:t xml:space="preserve"> </w:t>
      </w:r>
    </w:p>
    <w:p w:rsidR="0076001D" w:rsidRDefault="0034129A">
      <w:pPr>
        <w:spacing w:after="0" w:line="259" w:lineRule="auto"/>
        <w:ind w:left="10" w:right="656" w:hanging="10"/>
        <w:jc w:val="right"/>
      </w:pPr>
      <w:r>
        <w:rPr>
          <w:b/>
          <w:sz w:val="24"/>
        </w:rPr>
        <w:t xml:space="preserve">INSTITUTO PARA LA INVESTIGACIÓN EDUCATIVA Y EL DESARROLLO </w:t>
      </w:r>
    </w:p>
    <w:p w:rsidR="0076001D" w:rsidRDefault="0034129A">
      <w:pPr>
        <w:spacing w:after="32" w:line="265" w:lineRule="auto"/>
        <w:ind w:left="321" w:right="5" w:hanging="10"/>
        <w:jc w:val="center"/>
      </w:pPr>
      <w:r>
        <w:rPr>
          <w:b/>
          <w:sz w:val="24"/>
        </w:rPr>
        <w:t xml:space="preserve">PEDAGOGICO – IDEP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192" w:line="259" w:lineRule="auto"/>
        <w:ind w:left="0" w:firstLine="0"/>
        <w:jc w:val="left"/>
      </w:pPr>
      <w:r>
        <w:rPr>
          <w:b/>
          <w:sz w:val="26"/>
        </w:rPr>
        <w:t xml:space="preserve"> </w:t>
      </w:r>
    </w:p>
    <w:p w:rsidR="0076001D" w:rsidRDefault="0034129A">
      <w:pPr>
        <w:spacing w:after="0" w:line="259" w:lineRule="auto"/>
        <w:ind w:left="10" w:right="779" w:hanging="10"/>
        <w:jc w:val="right"/>
      </w:pPr>
      <w:r>
        <w:rPr>
          <w:b/>
          <w:sz w:val="24"/>
        </w:rPr>
        <w:t xml:space="preserve">INFORME DE AUDITORIA AL PROCESO DE GESTIÓN TECNOLÓGICA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0" w:line="259" w:lineRule="auto"/>
        <w:ind w:left="0" w:firstLine="0"/>
        <w:jc w:val="left"/>
      </w:pPr>
      <w:r>
        <w:rPr>
          <w:b/>
          <w:sz w:val="26"/>
        </w:rPr>
        <w:t xml:space="preserve"> </w:t>
      </w:r>
    </w:p>
    <w:p w:rsidR="0076001D" w:rsidRDefault="0034129A">
      <w:pPr>
        <w:spacing w:after="72" w:line="259" w:lineRule="auto"/>
        <w:ind w:left="0" w:firstLine="0"/>
        <w:jc w:val="left"/>
      </w:pPr>
      <w:r>
        <w:rPr>
          <w:b/>
          <w:sz w:val="26"/>
        </w:rPr>
        <w:t xml:space="preserve"> </w:t>
      </w:r>
    </w:p>
    <w:p w:rsidR="0076001D" w:rsidRDefault="0034129A">
      <w:pPr>
        <w:spacing w:after="0" w:line="259" w:lineRule="auto"/>
        <w:ind w:left="0" w:firstLine="0"/>
        <w:jc w:val="left"/>
      </w:pPr>
      <w:r>
        <w:rPr>
          <w:b/>
          <w:sz w:val="36"/>
        </w:rPr>
        <w:t xml:space="preserve"> </w:t>
      </w:r>
    </w:p>
    <w:p w:rsidR="0076001D" w:rsidRDefault="0034129A">
      <w:pPr>
        <w:spacing w:after="0" w:line="265" w:lineRule="auto"/>
        <w:ind w:left="321" w:right="1" w:hanging="10"/>
        <w:jc w:val="center"/>
      </w:pPr>
      <w:r>
        <w:rPr>
          <w:b/>
          <w:sz w:val="24"/>
        </w:rPr>
        <w:t xml:space="preserve">OFICINA DE CONTROL INTERNO </w:t>
      </w:r>
    </w:p>
    <w:p w:rsidR="0076001D" w:rsidRDefault="0034129A">
      <w:pPr>
        <w:spacing w:after="9" w:line="259" w:lineRule="auto"/>
        <w:ind w:left="0" w:firstLine="0"/>
        <w:jc w:val="left"/>
      </w:pPr>
      <w:r>
        <w:rPr>
          <w:b/>
          <w:sz w:val="21"/>
        </w:rPr>
        <w:t xml:space="preserve"> </w:t>
      </w:r>
    </w:p>
    <w:p w:rsidR="0076001D" w:rsidRDefault="0034129A">
      <w:pPr>
        <w:spacing w:after="2344" w:line="265" w:lineRule="auto"/>
        <w:ind w:left="321" w:hanging="10"/>
        <w:jc w:val="center"/>
      </w:pPr>
      <w:r>
        <w:rPr>
          <w:b/>
          <w:sz w:val="24"/>
        </w:rPr>
        <w:t xml:space="preserve">Bogotá, D.C. Noviembre  de 2020.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b/>
          <w:sz w:val="20"/>
        </w:rPr>
        <w:lastRenderedPageBreak/>
        <w:t xml:space="preserve"> </w:t>
      </w:r>
    </w:p>
    <w:p w:rsidR="0076001D" w:rsidRDefault="0034129A">
      <w:pPr>
        <w:spacing w:after="0" w:line="259" w:lineRule="auto"/>
        <w:ind w:left="0" w:firstLine="0"/>
        <w:jc w:val="left"/>
      </w:pPr>
      <w:r>
        <w:rPr>
          <w:b/>
          <w:sz w:val="20"/>
        </w:rPr>
        <w:t xml:space="preserve"> </w:t>
      </w:r>
    </w:p>
    <w:p w:rsidR="0076001D" w:rsidRDefault="0034129A">
      <w:pPr>
        <w:spacing w:after="0" w:line="259" w:lineRule="auto"/>
        <w:ind w:left="0" w:firstLine="0"/>
        <w:jc w:val="left"/>
      </w:pPr>
      <w:r>
        <w:rPr>
          <w:b/>
          <w:sz w:val="20"/>
        </w:rPr>
        <w:t xml:space="preserve"> </w:t>
      </w:r>
    </w:p>
    <w:p w:rsidR="0076001D" w:rsidRDefault="0034129A">
      <w:pPr>
        <w:spacing w:after="140" w:line="259" w:lineRule="auto"/>
        <w:ind w:left="0" w:firstLine="0"/>
        <w:jc w:val="left"/>
      </w:pPr>
      <w:r>
        <w:rPr>
          <w:b/>
          <w:sz w:val="15"/>
        </w:rPr>
        <w:t xml:space="preserve"> </w:t>
      </w:r>
    </w:p>
    <w:p w:rsidR="0076001D" w:rsidRDefault="0034129A">
      <w:pPr>
        <w:numPr>
          <w:ilvl w:val="0"/>
          <w:numId w:val="1"/>
        </w:numPr>
        <w:spacing w:after="396" w:line="276" w:lineRule="auto"/>
        <w:ind w:hanging="331"/>
        <w:jc w:val="left"/>
      </w:pPr>
      <w:r>
        <w:rPr>
          <w:rFonts w:ascii="Calibri" w:eastAsia="Calibri" w:hAnsi="Calibri" w:cs="Calibri"/>
          <w:b/>
          <w:u w:val="single" w:color="000000"/>
        </w:rPr>
        <w:t xml:space="preserve">OBJETIVO </w:t>
      </w:r>
      <w:r>
        <w:rPr>
          <w:rFonts w:ascii="Calibri" w:eastAsia="Calibri" w:hAnsi="Calibri" w:cs="Calibri"/>
          <w:b/>
          <w:u w:val="single" w:color="000000"/>
        </w:rPr>
        <w:tab/>
        <w:t>4</w:t>
      </w:r>
      <w:r>
        <w:rPr>
          <w:rFonts w:ascii="Calibri" w:eastAsia="Calibri" w:hAnsi="Calibri" w:cs="Calibri"/>
          <w:b/>
        </w:rPr>
        <w:t xml:space="preserve"> </w:t>
      </w:r>
    </w:p>
    <w:p w:rsidR="0076001D" w:rsidRDefault="0034129A">
      <w:pPr>
        <w:numPr>
          <w:ilvl w:val="0"/>
          <w:numId w:val="1"/>
        </w:numPr>
        <w:spacing w:after="396" w:line="276" w:lineRule="auto"/>
        <w:ind w:hanging="331"/>
        <w:jc w:val="left"/>
      </w:pPr>
      <w:r>
        <w:rPr>
          <w:rFonts w:ascii="Calibri" w:eastAsia="Calibri" w:hAnsi="Calibri" w:cs="Calibri"/>
          <w:b/>
          <w:u w:val="single" w:color="000000"/>
        </w:rPr>
        <w:t xml:space="preserve">ALCANCE </w:t>
      </w:r>
      <w:r>
        <w:rPr>
          <w:rFonts w:ascii="Calibri" w:eastAsia="Calibri" w:hAnsi="Calibri" w:cs="Calibri"/>
          <w:b/>
          <w:u w:val="single" w:color="000000"/>
        </w:rPr>
        <w:tab/>
        <w:t>4</w:t>
      </w:r>
      <w:r>
        <w:rPr>
          <w:rFonts w:ascii="Calibri" w:eastAsia="Calibri" w:hAnsi="Calibri" w:cs="Calibri"/>
          <w:b/>
        </w:rPr>
        <w:t xml:space="preserve"> </w:t>
      </w:r>
    </w:p>
    <w:p w:rsidR="0076001D" w:rsidRDefault="0034129A">
      <w:pPr>
        <w:numPr>
          <w:ilvl w:val="0"/>
          <w:numId w:val="1"/>
        </w:numPr>
        <w:spacing w:after="396" w:line="276" w:lineRule="auto"/>
        <w:ind w:hanging="331"/>
        <w:jc w:val="left"/>
      </w:pPr>
      <w:r>
        <w:rPr>
          <w:rFonts w:ascii="Calibri" w:eastAsia="Calibri" w:hAnsi="Calibri" w:cs="Calibri"/>
          <w:b/>
          <w:u w:val="single" w:color="000000"/>
        </w:rPr>
        <w:t xml:space="preserve">CRITERIOS DE AUDITORIA </w:t>
      </w:r>
      <w:r>
        <w:rPr>
          <w:rFonts w:ascii="Calibri" w:eastAsia="Calibri" w:hAnsi="Calibri" w:cs="Calibri"/>
          <w:b/>
          <w:u w:val="single" w:color="000000"/>
        </w:rPr>
        <w:tab/>
        <w:t>4</w:t>
      </w:r>
      <w:r>
        <w:rPr>
          <w:rFonts w:ascii="Calibri" w:eastAsia="Calibri" w:hAnsi="Calibri" w:cs="Calibri"/>
          <w:b/>
        </w:rPr>
        <w:t xml:space="preserve"> </w:t>
      </w:r>
    </w:p>
    <w:p w:rsidR="0076001D" w:rsidRDefault="0034129A">
      <w:pPr>
        <w:numPr>
          <w:ilvl w:val="0"/>
          <w:numId w:val="1"/>
        </w:numPr>
        <w:spacing w:after="420" w:line="276" w:lineRule="auto"/>
        <w:ind w:hanging="331"/>
        <w:jc w:val="left"/>
      </w:pPr>
      <w:r>
        <w:rPr>
          <w:rFonts w:ascii="Calibri" w:eastAsia="Calibri" w:hAnsi="Calibri" w:cs="Calibri"/>
          <w:b/>
          <w:u w:val="single" w:color="000000"/>
        </w:rPr>
        <w:t xml:space="preserve">METODOLOGIA </w:t>
      </w:r>
      <w:r>
        <w:rPr>
          <w:rFonts w:ascii="Calibri" w:eastAsia="Calibri" w:hAnsi="Calibri" w:cs="Calibri"/>
          <w:b/>
          <w:u w:val="single" w:color="000000"/>
        </w:rPr>
        <w:tab/>
        <w:t>4</w:t>
      </w:r>
      <w:r>
        <w:rPr>
          <w:rFonts w:ascii="Calibri" w:eastAsia="Calibri" w:hAnsi="Calibri" w:cs="Calibri"/>
          <w:b/>
        </w:rPr>
        <w:t xml:space="preserve"> </w:t>
      </w:r>
    </w:p>
    <w:p w:rsidR="0076001D" w:rsidRDefault="0034129A">
      <w:pPr>
        <w:numPr>
          <w:ilvl w:val="1"/>
          <w:numId w:val="1"/>
        </w:numPr>
        <w:spacing w:after="416" w:line="265" w:lineRule="auto"/>
        <w:ind w:hanging="502"/>
        <w:jc w:val="left"/>
      </w:pPr>
      <w:r>
        <w:rPr>
          <w:rFonts w:ascii="Calibri" w:eastAsia="Calibri" w:hAnsi="Calibri" w:cs="Calibri"/>
          <w:b/>
        </w:rPr>
        <w:t>P</w:t>
      </w:r>
      <w:r>
        <w:rPr>
          <w:rFonts w:ascii="Calibri" w:eastAsia="Calibri" w:hAnsi="Calibri" w:cs="Calibri"/>
          <w:b/>
          <w:sz w:val="18"/>
        </w:rPr>
        <w:t xml:space="preserve">RESENTACIÓN DE </w:t>
      </w:r>
      <w:r>
        <w:rPr>
          <w:rFonts w:ascii="Calibri" w:eastAsia="Calibri" w:hAnsi="Calibri" w:cs="Calibri"/>
          <w:b/>
        </w:rPr>
        <w:t>R</w:t>
      </w:r>
      <w:r>
        <w:rPr>
          <w:rFonts w:ascii="Calibri" w:eastAsia="Calibri" w:hAnsi="Calibri" w:cs="Calibri"/>
          <w:b/>
          <w:sz w:val="18"/>
        </w:rPr>
        <w:t xml:space="preserve">ESULTADOS </w:t>
      </w:r>
      <w:r>
        <w:rPr>
          <w:rFonts w:ascii="Calibri" w:eastAsia="Calibri" w:hAnsi="Calibri" w:cs="Calibri"/>
          <w:b/>
          <w:sz w:val="18"/>
        </w:rPr>
        <w:tab/>
      </w:r>
      <w:r>
        <w:rPr>
          <w:rFonts w:ascii="Calibri" w:eastAsia="Calibri" w:hAnsi="Calibri" w:cs="Calibri"/>
          <w:b/>
        </w:rPr>
        <w:t xml:space="preserve">5 </w:t>
      </w:r>
    </w:p>
    <w:p w:rsidR="0076001D" w:rsidRDefault="0034129A">
      <w:pPr>
        <w:numPr>
          <w:ilvl w:val="0"/>
          <w:numId w:val="1"/>
        </w:numPr>
        <w:spacing w:after="396" w:line="276" w:lineRule="auto"/>
        <w:ind w:hanging="331"/>
        <w:jc w:val="left"/>
      </w:pPr>
      <w:r>
        <w:rPr>
          <w:rFonts w:ascii="Calibri" w:eastAsia="Calibri" w:hAnsi="Calibri" w:cs="Calibri"/>
          <w:b/>
          <w:u w:val="single" w:color="000000"/>
        </w:rPr>
        <w:t xml:space="preserve">RESULTADOS DEL SEGUIMIENTO Y EVALUACIÓN </w:t>
      </w:r>
      <w:r>
        <w:rPr>
          <w:rFonts w:ascii="Calibri" w:eastAsia="Calibri" w:hAnsi="Calibri" w:cs="Calibri"/>
          <w:b/>
          <w:u w:val="single" w:color="000000"/>
        </w:rPr>
        <w:tab/>
        <w:t>6</w:t>
      </w:r>
      <w:r>
        <w:rPr>
          <w:rFonts w:ascii="Calibri" w:eastAsia="Calibri" w:hAnsi="Calibri" w:cs="Calibri"/>
          <w:b/>
        </w:rPr>
        <w:t xml:space="preserve"> </w:t>
      </w:r>
    </w:p>
    <w:p w:rsidR="0076001D" w:rsidRDefault="0034129A">
      <w:pPr>
        <w:numPr>
          <w:ilvl w:val="1"/>
          <w:numId w:val="1"/>
        </w:numPr>
        <w:spacing w:after="76" w:line="265" w:lineRule="auto"/>
        <w:ind w:hanging="502"/>
        <w:jc w:val="left"/>
      </w:pPr>
      <w:r>
        <w:rPr>
          <w:rFonts w:ascii="Calibri" w:eastAsia="Calibri" w:hAnsi="Calibri" w:cs="Calibri"/>
          <w:b/>
        </w:rPr>
        <w:t>P</w:t>
      </w:r>
      <w:r>
        <w:rPr>
          <w:rFonts w:ascii="Calibri" w:eastAsia="Calibri" w:hAnsi="Calibri" w:cs="Calibri"/>
          <w:b/>
          <w:sz w:val="18"/>
        </w:rPr>
        <w:t xml:space="preserve">LANEACIÓN Y </w:t>
      </w:r>
      <w:r>
        <w:rPr>
          <w:rFonts w:ascii="Calibri" w:eastAsia="Calibri" w:hAnsi="Calibri" w:cs="Calibri"/>
          <w:b/>
        </w:rPr>
        <w:t>O</w:t>
      </w:r>
      <w:r>
        <w:rPr>
          <w:rFonts w:ascii="Calibri" w:eastAsia="Calibri" w:hAnsi="Calibri" w:cs="Calibri"/>
          <w:b/>
          <w:sz w:val="18"/>
        </w:rPr>
        <w:t xml:space="preserve">RGANIZACIÓN DE LA </w:t>
      </w:r>
      <w:r>
        <w:rPr>
          <w:rFonts w:ascii="Calibri" w:eastAsia="Calibri" w:hAnsi="Calibri" w:cs="Calibri"/>
          <w:b/>
        </w:rPr>
        <w:t>G</w:t>
      </w:r>
      <w:r>
        <w:rPr>
          <w:rFonts w:ascii="Calibri" w:eastAsia="Calibri" w:hAnsi="Calibri" w:cs="Calibri"/>
          <w:b/>
          <w:sz w:val="18"/>
        </w:rPr>
        <w:t xml:space="preserve">ESTIÓN </w:t>
      </w:r>
      <w:r>
        <w:rPr>
          <w:rFonts w:ascii="Calibri" w:eastAsia="Calibri" w:hAnsi="Calibri" w:cs="Calibri"/>
          <w:b/>
        </w:rPr>
        <w:t xml:space="preserve">TIC </w:t>
      </w:r>
      <w:r>
        <w:rPr>
          <w:rFonts w:ascii="Calibri" w:eastAsia="Calibri" w:hAnsi="Calibri" w:cs="Calibri"/>
          <w:b/>
        </w:rPr>
        <w:tab/>
        <w:t xml:space="preserve">7 </w:t>
      </w:r>
    </w:p>
    <w:p w:rsidR="0076001D" w:rsidRDefault="0034129A">
      <w:pPr>
        <w:numPr>
          <w:ilvl w:val="2"/>
          <w:numId w:val="1"/>
        </w:numPr>
        <w:spacing w:line="263" w:lineRule="auto"/>
        <w:ind w:firstLine="0"/>
        <w:jc w:val="left"/>
      </w:pPr>
      <w:r>
        <w:rPr>
          <w:rFonts w:ascii="Calibri" w:eastAsia="Calibri" w:hAnsi="Calibri" w:cs="Calibri"/>
        </w:rPr>
        <w:t>G</w:t>
      </w:r>
      <w:r>
        <w:rPr>
          <w:rFonts w:ascii="Calibri" w:eastAsia="Calibri" w:hAnsi="Calibri" w:cs="Calibri"/>
          <w:sz w:val="18"/>
        </w:rPr>
        <w:t xml:space="preserve">ESTIÓN </w:t>
      </w:r>
      <w:r>
        <w:rPr>
          <w:rFonts w:ascii="Calibri" w:eastAsia="Calibri" w:hAnsi="Calibri" w:cs="Calibri"/>
        </w:rPr>
        <w:t>E</w:t>
      </w:r>
      <w:r>
        <w:rPr>
          <w:rFonts w:ascii="Calibri" w:eastAsia="Calibri" w:hAnsi="Calibri" w:cs="Calibri"/>
          <w:sz w:val="18"/>
        </w:rPr>
        <w:t xml:space="preserve">STRATÉGICA DE </w:t>
      </w:r>
      <w:r>
        <w:rPr>
          <w:rFonts w:ascii="Calibri" w:eastAsia="Calibri" w:hAnsi="Calibri" w:cs="Calibri"/>
        </w:rPr>
        <w:t xml:space="preserve">TI </w:t>
      </w:r>
      <w:r>
        <w:rPr>
          <w:rFonts w:ascii="Calibri" w:eastAsia="Calibri" w:hAnsi="Calibri" w:cs="Calibri"/>
        </w:rPr>
        <w:tab/>
        <w:t xml:space="preserve">7 </w:t>
      </w:r>
    </w:p>
    <w:p w:rsidR="0076001D" w:rsidRDefault="0034129A">
      <w:pPr>
        <w:numPr>
          <w:ilvl w:val="3"/>
          <w:numId w:val="1"/>
        </w:numPr>
        <w:spacing w:after="89"/>
        <w:ind w:firstLine="0"/>
        <w:jc w:val="left"/>
      </w:pPr>
      <w:r>
        <w:t xml:space="preserve">Seguimiento a Recomendaciones 2019 </w:t>
      </w:r>
      <w:r>
        <w:rPr>
          <w:rFonts w:ascii="Calibri" w:eastAsia="Calibri" w:hAnsi="Calibri" w:cs="Calibri"/>
        </w:rPr>
        <w:t xml:space="preserve">18 </w:t>
      </w:r>
      <w:r>
        <w:t xml:space="preserve">5.1.1.2 Nuevas Recomendaciones 2020 </w:t>
      </w:r>
      <w:r>
        <w:tab/>
      </w:r>
      <w:r>
        <w:rPr>
          <w:rFonts w:ascii="Calibri" w:eastAsia="Calibri" w:hAnsi="Calibri" w:cs="Calibri"/>
        </w:rPr>
        <w:t xml:space="preserve">22 </w:t>
      </w:r>
    </w:p>
    <w:p w:rsidR="0076001D" w:rsidRDefault="0034129A">
      <w:pPr>
        <w:numPr>
          <w:ilvl w:val="2"/>
          <w:numId w:val="1"/>
        </w:numPr>
        <w:spacing w:after="91"/>
        <w:ind w:firstLine="0"/>
        <w:jc w:val="left"/>
      </w:pPr>
      <w:r>
        <w:rPr>
          <w:rFonts w:ascii="Calibri" w:eastAsia="Calibri" w:hAnsi="Calibri" w:cs="Calibri"/>
        </w:rPr>
        <w:t>E</w:t>
      </w:r>
      <w:r>
        <w:rPr>
          <w:rFonts w:ascii="Calibri" w:eastAsia="Calibri" w:hAnsi="Calibri" w:cs="Calibri"/>
          <w:sz w:val="18"/>
        </w:rPr>
        <w:t xml:space="preserve">STRUCTURA </w:t>
      </w:r>
      <w:r>
        <w:rPr>
          <w:rFonts w:ascii="Calibri" w:eastAsia="Calibri" w:hAnsi="Calibri" w:cs="Calibri"/>
        </w:rPr>
        <w:t>O</w:t>
      </w:r>
      <w:r>
        <w:rPr>
          <w:rFonts w:ascii="Calibri" w:eastAsia="Calibri" w:hAnsi="Calibri" w:cs="Calibri"/>
          <w:sz w:val="18"/>
        </w:rPr>
        <w:t xml:space="preserve">RGANIZACIONAL Y </w:t>
      </w:r>
      <w:r>
        <w:rPr>
          <w:rFonts w:ascii="Calibri" w:eastAsia="Calibri" w:hAnsi="Calibri" w:cs="Calibri"/>
        </w:rPr>
        <w:t>G</w:t>
      </w:r>
      <w:r>
        <w:rPr>
          <w:rFonts w:ascii="Calibri" w:eastAsia="Calibri" w:hAnsi="Calibri" w:cs="Calibri"/>
          <w:sz w:val="18"/>
        </w:rPr>
        <w:t xml:space="preserve">OBIERNO DE </w:t>
      </w:r>
      <w:r>
        <w:rPr>
          <w:rFonts w:ascii="Calibri" w:eastAsia="Calibri" w:hAnsi="Calibri" w:cs="Calibri"/>
        </w:rPr>
        <w:t xml:space="preserve">TI 24 </w:t>
      </w:r>
      <w:r>
        <w:t xml:space="preserve">5.1.2.1 Seguimiento a Recomendaciones 2019 </w:t>
      </w:r>
      <w:r>
        <w:rPr>
          <w:rFonts w:ascii="Calibri" w:eastAsia="Calibri" w:hAnsi="Calibri" w:cs="Calibri"/>
        </w:rPr>
        <w:t xml:space="preserve">31 </w:t>
      </w:r>
      <w:r>
        <w:t xml:space="preserve">5.1.2.2 Nuevas Recomendaciones 2020 </w:t>
      </w:r>
      <w:r>
        <w:tab/>
      </w:r>
      <w:r>
        <w:rPr>
          <w:rFonts w:ascii="Calibri" w:eastAsia="Calibri" w:hAnsi="Calibri" w:cs="Calibri"/>
        </w:rPr>
        <w:t xml:space="preserve">33 </w:t>
      </w:r>
    </w:p>
    <w:p w:rsidR="0076001D" w:rsidRDefault="0034129A">
      <w:pPr>
        <w:numPr>
          <w:ilvl w:val="2"/>
          <w:numId w:val="1"/>
        </w:numPr>
        <w:spacing w:line="263" w:lineRule="auto"/>
        <w:ind w:firstLine="0"/>
        <w:jc w:val="left"/>
      </w:pPr>
      <w:r>
        <w:rPr>
          <w:rFonts w:ascii="Calibri" w:eastAsia="Calibri" w:hAnsi="Calibri" w:cs="Calibri"/>
        </w:rPr>
        <w:t>P</w:t>
      </w:r>
      <w:r>
        <w:rPr>
          <w:rFonts w:ascii="Calibri" w:eastAsia="Calibri" w:hAnsi="Calibri" w:cs="Calibri"/>
          <w:sz w:val="18"/>
        </w:rPr>
        <w:t xml:space="preserve">LAN DE </w:t>
      </w:r>
      <w:r>
        <w:rPr>
          <w:rFonts w:ascii="Calibri" w:eastAsia="Calibri" w:hAnsi="Calibri" w:cs="Calibri"/>
        </w:rPr>
        <w:t>A</w:t>
      </w:r>
      <w:r>
        <w:rPr>
          <w:rFonts w:ascii="Calibri" w:eastAsia="Calibri" w:hAnsi="Calibri" w:cs="Calibri"/>
          <w:sz w:val="18"/>
        </w:rPr>
        <w:t xml:space="preserve">DMINISTRACIÓN DE </w:t>
      </w:r>
      <w:r>
        <w:rPr>
          <w:rFonts w:ascii="Calibri" w:eastAsia="Calibri" w:hAnsi="Calibri" w:cs="Calibri"/>
        </w:rPr>
        <w:t>R</w:t>
      </w:r>
      <w:r>
        <w:rPr>
          <w:rFonts w:ascii="Calibri" w:eastAsia="Calibri" w:hAnsi="Calibri" w:cs="Calibri"/>
          <w:sz w:val="18"/>
        </w:rPr>
        <w:t xml:space="preserve">IESGOS Y </w:t>
      </w:r>
      <w:r>
        <w:rPr>
          <w:rFonts w:ascii="Calibri" w:eastAsia="Calibri" w:hAnsi="Calibri" w:cs="Calibri"/>
        </w:rPr>
        <w:t>C</w:t>
      </w:r>
      <w:r>
        <w:rPr>
          <w:rFonts w:ascii="Calibri" w:eastAsia="Calibri" w:hAnsi="Calibri" w:cs="Calibri"/>
          <w:sz w:val="18"/>
        </w:rPr>
        <w:t xml:space="preserve">ONTINGENCIAS </w:t>
      </w:r>
      <w:r>
        <w:rPr>
          <w:rFonts w:ascii="Calibri" w:eastAsia="Calibri" w:hAnsi="Calibri" w:cs="Calibri"/>
        </w:rPr>
        <w:t xml:space="preserve">34 </w:t>
      </w:r>
      <w:r>
        <w:t xml:space="preserve">5.1.3.1 Administración y tratamiento de Riesgos </w:t>
      </w:r>
      <w:r>
        <w:rPr>
          <w:rFonts w:ascii="Calibri" w:eastAsia="Calibri" w:hAnsi="Calibri" w:cs="Calibri"/>
        </w:rPr>
        <w:t xml:space="preserve">34 </w:t>
      </w:r>
    </w:p>
    <w:p w:rsidR="0076001D" w:rsidRDefault="0034129A">
      <w:pPr>
        <w:numPr>
          <w:ilvl w:val="3"/>
          <w:numId w:val="3"/>
        </w:numPr>
        <w:spacing w:after="41"/>
        <w:ind w:firstLine="0"/>
      </w:pPr>
      <w:r>
        <w:t xml:space="preserve">Plan de Continuidad </w:t>
      </w:r>
      <w:r>
        <w:tab/>
      </w:r>
      <w:r>
        <w:rPr>
          <w:rFonts w:ascii="Calibri" w:eastAsia="Calibri" w:hAnsi="Calibri" w:cs="Calibri"/>
        </w:rPr>
        <w:t xml:space="preserve">37 </w:t>
      </w:r>
    </w:p>
    <w:p w:rsidR="0076001D" w:rsidRDefault="0034129A">
      <w:pPr>
        <w:numPr>
          <w:ilvl w:val="3"/>
          <w:numId w:val="3"/>
        </w:numPr>
        <w:spacing w:after="41"/>
        <w:ind w:firstLine="0"/>
      </w:pPr>
      <w:r>
        <w:t xml:space="preserve">Procedimientos de </w:t>
      </w:r>
      <w:proofErr w:type="spellStart"/>
      <w:r>
        <w:t>Backup</w:t>
      </w:r>
      <w:proofErr w:type="spellEnd"/>
      <w:r>
        <w:t xml:space="preserve"> y Recuperación </w:t>
      </w:r>
      <w:r>
        <w:tab/>
      </w:r>
      <w:r>
        <w:rPr>
          <w:rFonts w:ascii="Calibri" w:eastAsia="Calibri" w:hAnsi="Calibri" w:cs="Calibri"/>
        </w:rPr>
        <w:t xml:space="preserve">41 </w:t>
      </w:r>
    </w:p>
    <w:p w:rsidR="0076001D" w:rsidRDefault="0034129A">
      <w:pPr>
        <w:numPr>
          <w:ilvl w:val="3"/>
          <w:numId w:val="3"/>
        </w:numPr>
        <w:spacing w:after="88"/>
        <w:ind w:firstLine="0"/>
      </w:pPr>
      <w:r>
        <w:t xml:space="preserve">Seguimiento a Recomendaciones 2019 </w:t>
      </w:r>
      <w:r>
        <w:rPr>
          <w:rFonts w:ascii="Calibri" w:eastAsia="Calibri" w:hAnsi="Calibri" w:cs="Calibri"/>
        </w:rPr>
        <w:t xml:space="preserve">43 </w:t>
      </w:r>
      <w:r>
        <w:t xml:space="preserve">5.1.3.5 Nuevas Recomendaciones 2020 </w:t>
      </w:r>
      <w:r>
        <w:tab/>
      </w:r>
      <w:r>
        <w:rPr>
          <w:rFonts w:ascii="Calibri" w:eastAsia="Calibri" w:hAnsi="Calibri" w:cs="Calibri"/>
        </w:rPr>
        <w:t xml:space="preserve">45 </w:t>
      </w:r>
    </w:p>
    <w:p w:rsidR="0076001D" w:rsidRDefault="0034129A">
      <w:pPr>
        <w:numPr>
          <w:ilvl w:val="2"/>
          <w:numId w:val="1"/>
        </w:numPr>
        <w:spacing w:after="89"/>
        <w:ind w:firstLine="0"/>
        <w:jc w:val="left"/>
      </w:pPr>
      <w:r>
        <w:rPr>
          <w:rFonts w:ascii="Calibri" w:eastAsia="Calibri" w:hAnsi="Calibri" w:cs="Calibri"/>
        </w:rPr>
        <w:t>M</w:t>
      </w:r>
      <w:r>
        <w:rPr>
          <w:rFonts w:ascii="Calibri" w:eastAsia="Calibri" w:hAnsi="Calibri" w:cs="Calibri"/>
          <w:sz w:val="18"/>
        </w:rPr>
        <w:t xml:space="preserve">ODELO DE </w:t>
      </w:r>
      <w:r>
        <w:rPr>
          <w:rFonts w:ascii="Calibri" w:eastAsia="Calibri" w:hAnsi="Calibri" w:cs="Calibri"/>
        </w:rPr>
        <w:t>S</w:t>
      </w:r>
      <w:r>
        <w:rPr>
          <w:rFonts w:ascii="Calibri" w:eastAsia="Calibri" w:hAnsi="Calibri" w:cs="Calibri"/>
          <w:sz w:val="18"/>
        </w:rPr>
        <w:t xml:space="preserve">EGURIDAD Y </w:t>
      </w:r>
      <w:r>
        <w:rPr>
          <w:rFonts w:ascii="Calibri" w:eastAsia="Calibri" w:hAnsi="Calibri" w:cs="Calibri"/>
        </w:rPr>
        <w:t>P</w:t>
      </w:r>
      <w:r>
        <w:rPr>
          <w:rFonts w:ascii="Calibri" w:eastAsia="Calibri" w:hAnsi="Calibri" w:cs="Calibri"/>
          <w:sz w:val="18"/>
        </w:rPr>
        <w:t xml:space="preserve">RIVACIDAD DE LA </w:t>
      </w:r>
      <w:r>
        <w:rPr>
          <w:rFonts w:ascii="Calibri" w:eastAsia="Calibri" w:hAnsi="Calibri" w:cs="Calibri"/>
        </w:rPr>
        <w:t>I</w:t>
      </w:r>
      <w:r>
        <w:rPr>
          <w:rFonts w:ascii="Calibri" w:eastAsia="Calibri" w:hAnsi="Calibri" w:cs="Calibri"/>
          <w:sz w:val="18"/>
        </w:rPr>
        <w:t xml:space="preserve">NFORMACIÓN </w:t>
      </w:r>
      <w:r>
        <w:rPr>
          <w:rFonts w:ascii="Calibri" w:eastAsia="Calibri" w:hAnsi="Calibri" w:cs="Calibri"/>
        </w:rPr>
        <w:t xml:space="preserve">45 </w:t>
      </w:r>
      <w:r>
        <w:t xml:space="preserve">5.1.4.1 Seguimiento a Recomendaciones 2019 </w:t>
      </w:r>
      <w:r>
        <w:rPr>
          <w:rFonts w:ascii="Calibri" w:eastAsia="Calibri" w:hAnsi="Calibri" w:cs="Calibri"/>
        </w:rPr>
        <w:t xml:space="preserve">53 </w:t>
      </w:r>
      <w:r>
        <w:t xml:space="preserve">5.1.4.2 Nuevas Recomendaciones 2020 </w:t>
      </w:r>
      <w:r>
        <w:tab/>
      </w:r>
      <w:r>
        <w:rPr>
          <w:rFonts w:ascii="Calibri" w:eastAsia="Calibri" w:hAnsi="Calibri" w:cs="Calibri"/>
        </w:rPr>
        <w:t xml:space="preserve">53 </w:t>
      </w:r>
    </w:p>
    <w:p w:rsidR="0076001D" w:rsidRDefault="0034129A">
      <w:pPr>
        <w:numPr>
          <w:ilvl w:val="1"/>
          <w:numId w:val="1"/>
        </w:numPr>
        <w:spacing w:after="76" w:line="265" w:lineRule="auto"/>
        <w:ind w:hanging="502"/>
        <w:jc w:val="left"/>
      </w:pPr>
      <w:r>
        <w:rPr>
          <w:rFonts w:ascii="Calibri" w:eastAsia="Calibri" w:hAnsi="Calibri" w:cs="Calibri"/>
          <w:b/>
        </w:rPr>
        <w:t>A</w:t>
      </w:r>
      <w:r>
        <w:rPr>
          <w:rFonts w:ascii="Calibri" w:eastAsia="Calibri" w:hAnsi="Calibri" w:cs="Calibri"/>
          <w:b/>
          <w:sz w:val="18"/>
        </w:rPr>
        <w:t xml:space="preserve">DMINISTRACIÓN DE ACCESOS Y </w:t>
      </w:r>
      <w:r>
        <w:rPr>
          <w:rFonts w:ascii="Calibri" w:eastAsia="Calibri" w:hAnsi="Calibri" w:cs="Calibri"/>
          <w:b/>
        </w:rPr>
        <w:t>S</w:t>
      </w:r>
      <w:r>
        <w:rPr>
          <w:rFonts w:ascii="Calibri" w:eastAsia="Calibri" w:hAnsi="Calibri" w:cs="Calibri"/>
          <w:b/>
          <w:sz w:val="18"/>
        </w:rPr>
        <w:t xml:space="preserve">EGURIDAD </w:t>
      </w:r>
      <w:r>
        <w:rPr>
          <w:rFonts w:ascii="Calibri" w:eastAsia="Calibri" w:hAnsi="Calibri" w:cs="Calibri"/>
          <w:b/>
        </w:rPr>
        <w:t>L</w:t>
      </w:r>
      <w:r>
        <w:rPr>
          <w:rFonts w:ascii="Calibri" w:eastAsia="Calibri" w:hAnsi="Calibri" w:cs="Calibri"/>
          <w:b/>
          <w:sz w:val="18"/>
        </w:rPr>
        <w:t xml:space="preserve">ÓGICA </w:t>
      </w:r>
      <w:r>
        <w:rPr>
          <w:rFonts w:ascii="Calibri" w:eastAsia="Calibri" w:hAnsi="Calibri" w:cs="Calibri"/>
          <w:b/>
          <w:sz w:val="18"/>
        </w:rPr>
        <w:tab/>
      </w:r>
      <w:r>
        <w:rPr>
          <w:rFonts w:ascii="Calibri" w:eastAsia="Calibri" w:hAnsi="Calibri" w:cs="Calibri"/>
          <w:b/>
        </w:rPr>
        <w:t xml:space="preserve">55 </w:t>
      </w:r>
    </w:p>
    <w:p w:rsidR="0076001D" w:rsidRDefault="0034129A">
      <w:pPr>
        <w:numPr>
          <w:ilvl w:val="2"/>
          <w:numId w:val="1"/>
        </w:numPr>
        <w:spacing w:after="85"/>
        <w:ind w:firstLine="0"/>
        <w:jc w:val="left"/>
      </w:pPr>
      <w:r>
        <w:rPr>
          <w:rFonts w:ascii="Calibri" w:eastAsia="Calibri" w:hAnsi="Calibri" w:cs="Calibri"/>
        </w:rPr>
        <w:t>S</w:t>
      </w:r>
      <w:r>
        <w:rPr>
          <w:rFonts w:ascii="Calibri" w:eastAsia="Calibri" w:hAnsi="Calibri" w:cs="Calibri"/>
          <w:sz w:val="18"/>
        </w:rPr>
        <w:t xml:space="preserve">EGURIDAD DE LA RED </w:t>
      </w:r>
      <w:r>
        <w:rPr>
          <w:rFonts w:ascii="Calibri" w:eastAsia="Calibri" w:hAnsi="Calibri" w:cs="Calibri"/>
          <w:sz w:val="18"/>
        </w:rPr>
        <w:tab/>
      </w:r>
      <w:r>
        <w:rPr>
          <w:rFonts w:ascii="Calibri" w:eastAsia="Calibri" w:hAnsi="Calibri" w:cs="Calibri"/>
        </w:rPr>
        <w:t xml:space="preserve">55 </w:t>
      </w:r>
      <w:r>
        <w:t xml:space="preserve">5.2.1.1 Pruebas de seguridad </w:t>
      </w:r>
      <w:r>
        <w:tab/>
      </w:r>
      <w:r>
        <w:rPr>
          <w:rFonts w:ascii="Calibri" w:eastAsia="Calibri" w:hAnsi="Calibri" w:cs="Calibri"/>
        </w:rPr>
        <w:t xml:space="preserve">66 </w:t>
      </w:r>
    </w:p>
    <w:p w:rsidR="0076001D" w:rsidRDefault="0034129A">
      <w:pPr>
        <w:numPr>
          <w:ilvl w:val="2"/>
          <w:numId w:val="1"/>
        </w:numPr>
        <w:spacing w:line="330" w:lineRule="auto"/>
        <w:ind w:firstLine="0"/>
        <w:jc w:val="left"/>
      </w:pPr>
      <w:r>
        <w:rPr>
          <w:rFonts w:ascii="Calibri" w:eastAsia="Calibri" w:hAnsi="Calibri" w:cs="Calibri"/>
        </w:rPr>
        <w:t>S</w:t>
      </w:r>
      <w:r>
        <w:rPr>
          <w:rFonts w:ascii="Calibri" w:eastAsia="Calibri" w:hAnsi="Calibri" w:cs="Calibri"/>
          <w:sz w:val="18"/>
        </w:rPr>
        <w:t xml:space="preserve">EGURIDAD SERVICIOS DE CORREO </w:t>
      </w:r>
      <w:r>
        <w:rPr>
          <w:rFonts w:ascii="Calibri" w:eastAsia="Calibri" w:hAnsi="Calibri" w:cs="Calibri"/>
          <w:sz w:val="18"/>
        </w:rPr>
        <w:tab/>
      </w:r>
      <w:r>
        <w:rPr>
          <w:rFonts w:ascii="Calibri" w:eastAsia="Calibri" w:hAnsi="Calibri" w:cs="Calibri"/>
        </w:rPr>
        <w:t>67 5.2.3</w:t>
      </w:r>
      <w:r>
        <w:t xml:space="preserve"> </w:t>
      </w:r>
      <w:r>
        <w:rPr>
          <w:rFonts w:ascii="Calibri" w:eastAsia="Calibri" w:hAnsi="Calibri" w:cs="Calibri"/>
        </w:rPr>
        <w:t>S</w:t>
      </w:r>
      <w:r>
        <w:rPr>
          <w:rFonts w:ascii="Calibri" w:eastAsia="Calibri" w:hAnsi="Calibri" w:cs="Calibri"/>
          <w:sz w:val="18"/>
        </w:rPr>
        <w:t xml:space="preserve">EGURIDAD DE </w:t>
      </w:r>
      <w:r>
        <w:rPr>
          <w:rFonts w:ascii="Calibri" w:eastAsia="Calibri" w:hAnsi="Calibri" w:cs="Calibri"/>
        </w:rPr>
        <w:t>I</w:t>
      </w:r>
      <w:r>
        <w:rPr>
          <w:rFonts w:ascii="Calibri" w:eastAsia="Calibri" w:hAnsi="Calibri" w:cs="Calibri"/>
          <w:sz w:val="18"/>
        </w:rPr>
        <w:t xml:space="preserve">NTERNET Y </w:t>
      </w:r>
      <w:r>
        <w:rPr>
          <w:rFonts w:ascii="Calibri" w:eastAsia="Calibri" w:hAnsi="Calibri" w:cs="Calibri"/>
        </w:rPr>
        <w:t>PC ´</w:t>
      </w:r>
      <w:r>
        <w:rPr>
          <w:rFonts w:ascii="Calibri" w:eastAsia="Calibri" w:hAnsi="Calibri" w:cs="Calibri"/>
          <w:sz w:val="18"/>
        </w:rPr>
        <w:t xml:space="preserve">S </w:t>
      </w:r>
      <w:r>
        <w:rPr>
          <w:rFonts w:ascii="Calibri" w:eastAsia="Calibri" w:hAnsi="Calibri" w:cs="Calibri"/>
          <w:sz w:val="18"/>
        </w:rPr>
        <w:tab/>
      </w:r>
      <w:r>
        <w:rPr>
          <w:rFonts w:ascii="Calibri" w:eastAsia="Calibri" w:hAnsi="Calibri" w:cs="Calibri"/>
        </w:rPr>
        <w:t xml:space="preserve">69 </w:t>
      </w:r>
    </w:p>
    <w:p w:rsidR="0076001D" w:rsidRDefault="0034129A">
      <w:pPr>
        <w:numPr>
          <w:ilvl w:val="2"/>
          <w:numId w:val="2"/>
        </w:numPr>
        <w:spacing w:after="72" w:line="263" w:lineRule="auto"/>
        <w:ind w:hanging="667"/>
        <w:jc w:val="left"/>
      </w:pPr>
      <w:r>
        <w:rPr>
          <w:rFonts w:ascii="Calibri" w:eastAsia="Calibri" w:hAnsi="Calibri" w:cs="Calibri"/>
        </w:rPr>
        <w:t>S</w:t>
      </w:r>
      <w:r>
        <w:rPr>
          <w:rFonts w:ascii="Calibri" w:eastAsia="Calibri" w:hAnsi="Calibri" w:cs="Calibri"/>
          <w:sz w:val="18"/>
        </w:rPr>
        <w:t xml:space="preserve">EGURIDAD DE </w:t>
      </w:r>
      <w:r>
        <w:rPr>
          <w:rFonts w:ascii="Calibri" w:eastAsia="Calibri" w:hAnsi="Calibri" w:cs="Calibri"/>
        </w:rPr>
        <w:t>A</w:t>
      </w:r>
      <w:r>
        <w:rPr>
          <w:rFonts w:ascii="Calibri" w:eastAsia="Calibri" w:hAnsi="Calibri" w:cs="Calibri"/>
          <w:sz w:val="18"/>
        </w:rPr>
        <w:t xml:space="preserve">RCHIVOS </w:t>
      </w:r>
      <w:r>
        <w:rPr>
          <w:rFonts w:ascii="Calibri" w:eastAsia="Calibri" w:hAnsi="Calibri" w:cs="Calibri"/>
        </w:rPr>
        <w:t>F</w:t>
      </w:r>
      <w:r>
        <w:rPr>
          <w:rFonts w:ascii="Calibri" w:eastAsia="Calibri" w:hAnsi="Calibri" w:cs="Calibri"/>
          <w:sz w:val="18"/>
        </w:rPr>
        <w:t xml:space="preserve">UENTES Y </w:t>
      </w:r>
      <w:r>
        <w:rPr>
          <w:rFonts w:ascii="Calibri" w:eastAsia="Calibri" w:hAnsi="Calibri" w:cs="Calibri"/>
        </w:rPr>
        <w:t>D</w:t>
      </w:r>
      <w:r>
        <w:rPr>
          <w:rFonts w:ascii="Calibri" w:eastAsia="Calibri" w:hAnsi="Calibri" w:cs="Calibri"/>
          <w:sz w:val="18"/>
        </w:rPr>
        <w:t xml:space="preserve">OCUMENTOS </w:t>
      </w:r>
      <w:r>
        <w:rPr>
          <w:rFonts w:ascii="Calibri" w:eastAsia="Calibri" w:hAnsi="Calibri" w:cs="Calibri"/>
          <w:sz w:val="18"/>
        </w:rPr>
        <w:tab/>
      </w:r>
      <w:r>
        <w:rPr>
          <w:rFonts w:ascii="Calibri" w:eastAsia="Calibri" w:hAnsi="Calibri" w:cs="Calibri"/>
        </w:rPr>
        <w:t xml:space="preserve">72 </w:t>
      </w:r>
    </w:p>
    <w:p w:rsidR="0076001D" w:rsidRDefault="0034129A">
      <w:pPr>
        <w:numPr>
          <w:ilvl w:val="2"/>
          <w:numId w:val="2"/>
        </w:numPr>
        <w:spacing w:after="76" w:line="263" w:lineRule="auto"/>
        <w:ind w:hanging="667"/>
        <w:jc w:val="left"/>
      </w:pPr>
      <w:r>
        <w:rPr>
          <w:rFonts w:ascii="Calibri" w:eastAsia="Calibri" w:hAnsi="Calibri" w:cs="Calibri"/>
        </w:rPr>
        <w:t>G</w:t>
      </w:r>
      <w:r>
        <w:rPr>
          <w:rFonts w:ascii="Calibri" w:eastAsia="Calibri" w:hAnsi="Calibri" w:cs="Calibri"/>
          <w:sz w:val="18"/>
        </w:rPr>
        <w:t xml:space="preserve">ESTIÓN DE ACCESOS </w:t>
      </w:r>
      <w:r>
        <w:rPr>
          <w:rFonts w:ascii="Calibri" w:eastAsia="Calibri" w:hAnsi="Calibri" w:cs="Calibri"/>
          <w:sz w:val="18"/>
        </w:rPr>
        <w:tab/>
      </w:r>
      <w:r>
        <w:rPr>
          <w:rFonts w:ascii="Calibri" w:eastAsia="Calibri" w:hAnsi="Calibri" w:cs="Calibri"/>
        </w:rPr>
        <w:t xml:space="preserve">72 </w:t>
      </w:r>
    </w:p>
    <w:p w:rsidR="0076001D" w:rsidRDefault="0034129A">
      <w:pPr>
        <w:numPr>
          <w:ilvl w:val="2"/>
          <w:numId w:val="2"/>
        </w:numPr>
        <w:spacing w:line="263" w:lineRule="auto"/>
        <w:ind w:hanging="667"/>
        <w:jc w:val="left"/>
      </w:pPr>
      <w:r>
        <w:rPr>
          <w:rFonts w:ascii="Calibri" w:eastAsia="Calibri" w:hAnsi="Calibri" w:cs="Calibri"/>
        </w:rPr>
        <w:t>S</w:t>
      </w:r>
      <w:r>
        <w:rPr>
          <w:rFonts w:ascii="Calibri" w:eastAsia="Calibri" w:hAnsi="Calibri" w:cs="Calibri"/>
          <w:sz w:val="18"/>
        </w:rPr>
        <w:t xml:space="preserve">EGUIMIENTO A </w:t>
      </w:r>
      <w:r>
        <w:rPr>
          <w:rFonts w:ascii="Calibri" w:eastAsia="Calibri" w:hAnsi="Calibri" w:cs="Calibri"/>
        </w:rPr>
        <w:t>R</w:t>
      </w:r>
      <w:r>
        <w:rPr>
          <w:rFonts w:ascii="Calibri" w:eastAsia="Calibri" w:hAnsi="Calibri" w:cs="Calibri"/>
          <w:sz w:val="18"/>
        </w:rPr>
        <w:t xml:space="preserve">ECOMENDACIONES </w:t>
      </w:r>
      <w:r>
        <w:rPr>
          <w:rFonts w:ascii="Calibri" w:eastAsia="Calibri" w:hAnsi="Calibri" w:cs="Calibri"/>
        </w:rPr>
        <w:t xml:space="preserve">2019 </w:t>
      </w:r>
      <w:r>
        <w:rPr>
          <w:rFonts w:ascii="Calibri" w:eastAsia="Calibri" w:hAnsi="Calibri" w:cs="Calibri"/>
        </w:rPr>
        <w:tab/>
        <w:t xml:space="preserve">74 </w:t>
      </w:r>
    </w:p>
    <w:p w:rsidR="0076001D" w:rsidRDefault="0034129A">
      <w:pPr>
        <w:numPr>
          <w:ilvl w:val="1"/>
          <w:numId w:val="1"/>
        </w:numPr>
        <w:spacing w:after="160" w:line="259" w:lineRule="auto"/>
        <w:ind w:hanging="502"/>
        <w:jc w:val="left"/>
      </w:pPr>
      <w:r>
        <w:rPr>
          <w:rFonts w:ascii="Calibri" w:eastAsia="Calibri" w:hAnsi="Calibri" w:cs="Calibri"/>
          <w:b/>
        </w:rPr>
        <w:t>D</w:t>
      </w:r>
      <w:r>
        <w:rPr>
          <w:rFonts w:ascii="Calibri" w:eastAsia="Calibri" w:hAnsi="Calibri" w:cs="Calibri"/>
          <w:b/>
          <w:sz w:val="18"/>
        </w:rPr>
        <w:t xml:space="preserve">ESARROLLO Y </w:t>
      </w:r>
      <w:r>
        <w:rPr>
          <w:rFonts w:ascii="Calibri" w:eastAsia="Calibri" w:hAnsi="Calibri" w:cs="Calibri"/>
          <w:b/>
        </w:rPr>
        <w:t>A</w:t>
      </w:r>
      <w:r>
        <w:rPr>
          <w:rFonts w:ascii="Calibri" w:eastAsia="Calibri" w:hAnsi="Calibri" w:cs="Calibri"/>
          <w:b/>
          <w:sz w:val="18"/>
        </w:rPr>
        <w:t xml:space="preserve">DQUISICIÓN DE </w:t>
      </w:r>
      <w:r>
        <w:rPr>
          <w:rFonts w:ascii="Calibri" w:eastAsia="Calibri" w:hAnsi="Calibri" w:cs="Calibri"/>
          <w:b/>
        </w:rPr>
        <w:t>S</w:t>
      </w:r>
      <w:r>
        <w:rPr>
          <w:rFonts w:ascii="Calibri" w:eastAsia="Calibri" w:hAnsi="Calibri" w:cs="Calibri"/>
          <w:b/>
          <w:sz w:val="18"/>
        </w:rPr>
        <w:t xml:space="preserve">OFTWARE </w:t>
      </w:r>
      <w:r>
        <w:rPr>
          <w:rFonts w:ascii="Calibri" w:eastAsia="Calibri" w:hAnsi="Calibri" w:cs="Calibri"/>
          <w:b/>
        </w:rPr>
        <w:t>A</w:t>
      </w:r>
      <w:r>
        <w:rPr>
          <w:rFonts w:ascii="Calibri" w:eastAsia="Calibri" w:hAnsi="Calibri" w:cs="Calibri"/>
          <w:b/>
          <w:sz w:val="18"/>
        </w:rPr>
        <w:t xml:space="preserve">PLICATIVO </w:t>
      </w:r>
      <w:r>
        <w:rPr>
          <w:rFonts w:ascii="Calibri" w:eastAsia="Calibri" w:hAnsi="Calibri" w:cs="Calibri"/>
          <w:b/>
          <w:sz w:val="18"/>
        </w:rPr>
        <w:tab/>
      </w:r>
      <w:r>
        <w:rPr>
          <w:rFonts w:ascii="Calibri" w:eastAsia="Calibri" w:hAnsi="Calibri" w:cs="Calibri"/>
          <w:b/>
        </w:rPr>
        <w:t xml:space="preserve">79 </w:t>
      </w:r>
    </w:p>
    <w:p w:rsidR="0076001D" w:rsidRDefault="0034129A">
      <w:pPr>
        <w:numPr>
          <w:ilvl w:val="2"/>
          <w:numId w:val="1"/>
        </w:numPr>
        <w:spacing w:after="160" w:line="259" w:lineRule="auto"/>
        <w:ind w:firstLine="0"/>
        <w:jc w:val="left"/>
      </w:pPr>
      <w:r>
        <w:rPr>
          <w:rFonts w:ascii="Calibri" w:eastAsia="Calibri" w:hAnsi="Calibri" w:cs="Calibri"/>
        </w:rPr>
        <w:t>S</w:t>
      </w:r>
      <w:r>
        <w:rPr>
          <w:rFonts w:ascii="Calibri" w:eastAsia="Calibri" w:hAnsi="Calibri" w:cs="Calibri"/>
          <w:sz w:val="18"/>
        </w:rPr>
        <w:t xml:space="preserve">EGUIMIENTO A </w:t>
      </w:r>
      <w:r>
        <w:rPr>
          <w:rFonts w:ascii="Calibri" w:eastAsia="Calibri" w:hAnsi="Calibri" w:cs="Calibri"/>
        </w:rPr>
        <w:t>R</w:t>
      </w:r>
      <w:r>
        <w:rPr>
          <w:rFonts w:ascii="Calibri" w:eastAsia="Calibri" w:hAnsi="Calibri" w:cs="Calibri"/>
          <w:sz w:val="18"/>
        </w:rPr>
        <w:t xml:space="preserve">ECOMENDACIONES </w:t>
      </w:r>
      <w:r>
        <w:rPr>
          <w:rFonts w:ascii="Calibri" w:eastAsia="Calibri" w:hAnsi="Calibri" w:cs="Calibri"/>
        </w:rPr>
        <w:t xml:space="preserve">2019 </w:t>
      </w:r>
      <w:r>
        <w:rPr>
          <w:rFonts w:ascii="Calibri" w:eastAsia="Calibri" w:hAnsi="Calibri" w:cs="Calibri"/>
        </w:rPr>
        <w:tab/>
        <w:t xml:space="preserve">84 </w:t>
      </w:r>
    </w:p>
    <w:p w:rsidR="0076001D" w:rsidRDefault="0034129A">
      <w:pPr>
        <w:numPr>
          <w:ilvl w:val="2"/>
          <w:numId w:val="1"/>
        </w:numPr>
        <w:spacing w:after="160" w:line="259" w:lineRule="auto"/>
        <w:ind w:firstLine="0"/>
        <w:jc w:val="left"/>
      </w:pPr>
      <w:r>
        <w:rPr>
          <w:rFonts w:ascii="Calibri" w:eastAsia="Calibri" w:hAnsi="Calibri" w:cs="Calibri"/>
        </w:rPr>
        <w:lastRenderedPageBreak/>
        <w:t>N</w:t>
      </w:r>
      <w:r>
        <w:rPr>
          <w:rFonts w:ascii="Calibri" w:eastAsia="Calibri" w:hAnsi="Calibri" w:cs="Calibri"/>
          <w:sz w:val="18"/>
        </w:rPr>
        <w:t xml:space="preserve">UEVAS </w:t>
      </w:r>
      <w:r>
        <w:rPr>
          <w:rFonts w:ascii="Calibri" w:eastAsia="Calibri" w:hAnsi="Calibri" w:cs="Calibri"/>
        </w:rPr>
        <w:t>R</w:t>
      </w:r>
      <w:r>
        <w:rPr>
          <w:rFonts w:ascii="Calibri" w:eastAsia="Calibri" w:hAnsi="Calibri" w:cs="Calibri"/>
          <w:sz w:val="18"/>
        </w:rPr>
        <w:t xml:space="preserve">ECOMENDACIONES </w:t>
      </w:r>
      <w:r>
        <w:rPr>
          <w:rFonts w:ascii="Calibri" w:eastAsia="Calibri" w:hAnsi="Calibri" w:cs="Calibri"/>
        </w:rPr>
        <w:t xml:space="preserve">2020 </w:t>
      </w:r>
      <w:r>
        <w:rPr>
          <w:rFonts w:ascii="Calibri" w:eastAsia="Calibri" w:hAnsi="Calibri" w:cs="Calibri"/>
        </w:rPr>
        <w:tab/>
        <w:t xml:space="preserve">85 </w:t>
      </w:r>
    </w:p>
    <w:p w:rsidR="0076001D" w:rsidRDefault="0034129A">
      <w:pPr>
        <w:numPr>
          <w:ilvl w:val="1"/>
          <w:numId w:val="1"/>
        </w:numPr>
        <w:spacing w:after="160" w:line="259" w:lineRule="auto"/>
        <w:ind w:hanging="502"/>
        <w:jc w:val="left"/>
      </w:pPr>
      <w:r>
        <w:rPr>
          <w:rFonts w:ascii="Calibri" w:eastAsia="Calibri" w:hAnsi="Calibri" w:cs="Calibri"/>
          <w:b/>
        </w:rPr>
        <w:t>A</w:t>
      </w:r>
      <w:r>
        <w:rPr>
          <w:rFonts w:ascii="Calibri" w:eastAsia="Calibri" w:hAnsi="Calibri" w:cs="Calibri"/>
          <w:b/>
          <w:sz w:val="18"/>
        </w:rPr>
        <w:t xml:space="preserve">DMINISTRACIÓN DE </w:t>
      </w:r>
      <w:r>
        <w:rPr>
          <w:rFonts w:ascii="Calibri" w:eastAsia="Calibri" w:hAnsi="Calibri" w:cs="Calibri"/>
          <w:b/>
        </w:rPr>
        <w:t>R</w:t>
      </w:r>
      <w:r>
        <w:rPr>
          <w:rFonts w:ascii="Calibri" w:eastAsia="Calibri" w:hAnsi="Calibri" w:cs="Calibri"/>
          <w:b/>
          <w:sz w:val="18"/>
        </w:rPr>
        <w:t xml:space="preserve">ECURSOS DE </w:t>
      </w:r>
      <w:r>
        <w:rPr>
          <w:rFonts w:ascii="Calibri" w:eastAsia="Calibri" w:hAnsi="Calibri" w:cs="Calibri"/>
          <w:b/>
        </w:rPr>
        <w:t xml:space="preserve">TI </w:t>
      </w:r>
      <w:r>
        <w:rPr>
          <w:rFonts w:ascii="Calibri" w:eastAsia="Calibri" w:hAnsi="Calibri" w:cs="Calibri"/>
          <w:b/>
        </w:rPr>
        <w:tab/>
        <w:t xml:space="preserve">86 </w:t>
      </w:r>
    </w:p>
    <w:p w:rsidR="0076001D" w:rsidRDefault="0034129A">
      <w:pPr>
        <w:numPr>
          <w:ilvl w:val="2"/>
          <w:numId w:val="1"/>
        </w:numPr>
        <w:spacing w:after="160" w:line="259" w:lineRule="auto"/>
        <w:ind w:firstLine="0"/>
        <w:jc w:val="left"/>
      </w:pPr>
      <w:r>
        <w:rPr>
          <w:rFonts w:ascii="Calibri" w:eastAsia="Calibri" w:hAnsi="Calibri" w:cs="Calibri"/>
        </w:rPr>
        <w:t>I</w:t>
      </w:r>
      <w:r>
        <w:rPr>
          <w:rFonts w:ascii="Calibri" w:eastAsia="Calibri" w:hAnsi="Calibri" w:cs="Calibri"/>
          <w:sz w:val="18"/>
        </w:rPr>
        <w:t xml:space="preserve">NVENTARIOS DE ACTIVOS Y </w:t>
      </w:r>
      <w:r>
        <w:rPr>
          <w:rFonts w:ascii="Calibri" w:eastAsia="Calibri" w:hAnsi="Calibri" w:cs="Calibri"/>
        </w:rPr>
        <w:t>M</w:t>
      </w:r>
      <w:r>
        <w:rPr>
          <w:rFonts w:ascii="Calibri" w:eastAsia="Calibri" w:hAnsi="Calibri" w:cs="Calibri"/>
          <w:sz w:val="18"/>
        </w:rPr>
        <w:t xml:space="preserve">ANTENIMIENTO DE </w:t>
      </w:r>
      <w:r>
        <w:rPr>
          <w:rFonts w:ascii="Calibri" w:eastAsia="Calibri" w:hAnsi="Calibri" w:cs="Calibri"/>
        </w:rPr>
        <w:t>H</w:t>
      </w:r>
      <w:r>
        <w:rPr>
          <w:rFonts w:ascii="Calibri" w:eastAsia="Calibri" w:hAnsi="Calibri" w:cs="Calibri"/>
          <w:sz w:val="18"/>
        </w:rPr>
        <w:t xml:space="preserve">ARDWARE Y </w:t>
      </w:r>
      <w:r>
        <w:rPr>
          <w:rFonts w:ascii="Calibri" w:eastAsia="Calibri" w:hAnsi="Calibri" w:cs="Calibri"/>
        </w:rPr>
        <w:t>S</w:t>
      </w:r>
      <w:r>
        <w:rPr>
          <w:rFonts w:ascii="Calibri" w:eastAsia="Calibri" w:hAnsi="Calibri" w:cs="Calibri"/>
          <w:sz w:val="18"/>
        </w:rPr>
        <w:t xml:space="preserve">OFTWARE </w:t>
      </w:r>
      <w:r>
        <w:rPr>
          <w:rFonts w:ascii="Calibri" w:eastAsia="Calibri" w:hAnsi="Calibri" w:cs="Calibri"/>
          <w:sz w:val="18"/>
        </w:rPr>
        <w:tab/>
      </w:r>
      <w:r>
        <w:rPr>
          <w:rFonts w:ascii="Calibri" w:eastAsia="Calibri" w:hAnsi="Calibri" w:cs="Calibri"/>
        </w:rPr>
        <w:t xml:space="preserve">86 </w:t>
      </w:r>
    </w:p>
    <w:p w:rsidR="0076001D" w:rsidRDefault="0034129A">
      <w:pPr>
        <w:numPr>
          <w:ilvl w:val="3"/>
          <w:numId w:val="1"/>
        </w:numPr>
        <w:spacing w:after="160" w:line="259" w:lineRule="auto"/>
        <w:ind w:firstLine="0"/>
        <w:jc w:val="left"/>
      </w:pPr>
      <w:r>
        <w:t xml:space="preserve">Seguimiento a Recomendaciones 2019 </w:t>
      </w:r>
      <w:r>
        <w:tab/>
      </w:r>
      <w:r>
        <w:rPr>
          <w:rFonts w:ascii="Calibri" w:eastAsia="Calibri" w:hAnsi="Calibri" w:cs="Calibri"/>
        </w:rPr>
        <w:t xml:space="preserve">88 </w:t>
      </w:r>
    </w:p>
    <w:p w:rsidR="0076001D" w:rsidRDefault="0034129A">
      <w:pPr>
        <w:numPr>
          <w:ilvl w:val="3"/>
          <w:numId w:val="1"/>
        </w:numPr>
        <w:spacing w:after="160" w:line="259" w:lineRule="auto"/>
        <w:ind w:firstLine="0"/>
        <w:jc w:val="left"/>
      </w:pPr>
      <w:r>
        <w:t xml:space="preserve">Nuevas Recomendaciones 2020 </w:t>
      </w:r>
      <w:r>
        <w:tab/>
      </w:r>
      <w:r>
        <w:rPr>
          <w:rFonts w:ascii="Calibri" w:eastAsia="Calibri" w:hAnsi="Calibri" w:cs="Calibri"/>
        </w:rPr>
        <w:t xml:space="preserve">89 </w:t>
      </w:r>
    </w:p>
    <w:p w:rsidR="0076001D" w:rsidRDefault="0034129A">
      <w:pPr>
        <w:numPr>
          <w:ilvl w:val="2"/>
          <w:numId w:val="1"/>
        </w:numPr>
        <w:spacing w:after="160" w:line="259" w:lineRule="auto"/>
        <w:ind w:firstLine="0"/>
        <w:jc w:val="left"/>
      </w:pPr>
      <w:r>
        <w:rPr>
          <w:rFonts w:ascii="Calibri" w:eastAsia="Calibri" w:hAnsi="Calibri" w:cs="Calibri"/>
        </w:rPr>
        <w:t>H</w:t>
      </w:r>
      <w:r>
        <w:rPr>
          <w:rFonts w:ascii="Calibri" w:eastAsia="Calibri" w:hAnsi="Calibri" w:cs="Calibri"/>
          <w:sz w:val="18"/>
        </w:rPr>
        <w:t xml:space="preserve">ELP </w:t>
      </w:r>
      <w:r>
        <w:rPr>
          <w:rFonts w:ascii="Calibri" w:eastAsia="Calibri" w:hAnsi="Calibri" w:cs="Calibri"/>
        </w:rPr>
        <w:t>D</w:t>
      </w:r>
      <w:r>
        <w:rPr>
          <w:rFonts w:ascii="Calibri" w:eastAsia="Calibri" w:hAnsi="Calibri" w:cs="Calibri"/>
          <w:sz w:val="18"/>
        </w:rPr>
        <w:t xml:space="preserve">ESK </w:t>
      </w:r>
      <w:r>
        <w:rPr>
          <w:rFonts w:ascii="Calibri" w:eastAsia="Calibri" w:hAnsi="Calibri" w:cs="Calibri"/>
          <w:sz w:val="18"/>
        </w:rPr>
        <w:tab/>
      </w:r>
      <w:r>
        <w:rPr>
          <w:rFonts w:ascii="Calibri" w:eastAsia="Calibri" w:hAnsi="Calibri" w:cs="Calibri"/>
        </w:rPr>
        <w:t xml:space="preserve">89 </w:t>
      </w:r>
    </w:p>
    <w:p w:rsidR="0076001D" w:rsidRDefault="0034129A">
      <w:pPr>
        <w:numPr>
          <w:ilvl w:val="3"/>
          <w:numId w:val="1"/>
        </w:numPr>
        <w:spacing w:after="160" w:line="259" w:lineRule="auto"/>
        <w:ind w:firstLine="0"/>
        <w:jc w:val="left"/>
      </w:pPr>
      <w:r>
        <w:t xml:space="preserve">Seguimiento a Recomendaciones 2019 </w:t>
      </w:r>
      <w:r>
        <w:tab/>
      </w:r>
      <w:r>
        <w:rPr>
          <w:rFonts w:ascii="Calibri" w:eastAsia="Calibri" w:hAnsi="Calibri" w:cs="Calibri"/>
        </w:rPr>
        <w:t xml:space="preserve">91 </w:t>
      </w:r>
    </w:p>
    <w:p w:rsidR="0076001D" w:rsidRDefault="0034129A">
      <w:pPr>
        <w:numPr>
          <w:ilvl w:val="3"/>
          <w:numId w:val="1"/>
        </w:numPr>
        <w:spacing w:after="160" w:line="259" w:lineRule="auto"/>
        <w:ind w:firstLine="0"/>
        <w:jc w:val="left"/>
      </w:pPr>
      <w:r>
        <w:t xml:space="preserve">Nuevas Recomendaciones 2020 </w:t>
      </w:r>
      <w:r>
        <w:tab/>
      </w:r>
      <w:r>
        <w:rPr>
          <w:rFonts w:ascii="Calibri" w:eastAsia="Calibri" w:hAnsi="Calibri" w:cs="Calibri"/>
        </w:rPr>
        <w:t xml:space="preserve">92 </w:t>
      </w:r>
    </w:p>
    <w:p w:rsidR="0076001D" w:rsidRDefault="0034129A">
      <w:pPr>
        <w:numPr>
          <w:ilvl w:val="0"/>
          <w:numId w:val="1"/>
        </w:numPr>
        <w:spacing w:after="160" w:line="259" w:lineRule="auto"/>
        <w:ind w:hanging="331"/>
        <w:jc w:val="left"/>
      </w:pPr>
      <w:r>
        <w:rPr>
          <w:rFonts w:ascii="Calibri" w:eastAsia="Calibri" w:hAnsi="Calibri" w:cs="Calibri"/>
          <w:b/>
          <w:u w:val="single" w:color="000000"/>
        </w:rPr>
        <w:t xml:space="preserve">CONCLUSIONES DE AUDITORÍA: </w:t>
      </w:r>
      <w:r>
        <w:rPr>
          <w:rFonts w:ascii="Calibri" w:eastAsia="Calibri" w:hAnsi="Calibri" w:cs="Calibri"/>
          <w:b/>
          <w:u w:val="single" w:color="000000"/>
        </w:rPr>
        <w:tab/>
        <w:t>93</w:t>
      </w:r>
      <w:r>
        <w:rPr>
          <w:rFonts w:ascii="Calibri" w:eastAsia="Calibri" w:hAnsi="Calibri" w:cs="Calibri"/>
          <w:b/>
        </w:rPr>
        <w:t xml:space="preserve"> </w:t>
      </w:r>
    </w:p>
    <w:p w:rsidR="0076001D" w:rsidRDefault="0034129A">
      <w:pPr>
        <w:numPr>
          <w:ilvl w:val="0"/>
          <w:numId w:val="1"/>
        </w:numPr>
        <w:spacing w:after="160" w:line="259" w:lineRule="auto"/>
        <w:ind w:hanging="331"/>
        <w:jc w:val="left"/>
      </w:pPr>
      <w:r>
        <w:rPr>
          <w:rFonts w:ascii="Calibri" w:eastAsia="Calibri" w:hAnsi="Calibri" w:cs="Calibri"/>
          <w:b/>
          <w:u w:val="single" w:color="000000"/>
        </w:rPr>
        <w:t xml:space="preserve">RECOMENDACIONES </w:t>
      </w:r>
      <w:r>
        <w:rPr>
          <w:rFonts w:ascii="Calibri" w:eastAsia="Calibri" w:hAnsi="Calibri" w:cs="Calibri"/>
          <w:b/>
          <w:u w:val="single" w:color="000000"/>
        </w:rPr>
        <w:tab/>
        <w:t>93</w:t>
      </w:r>
      <w:r>
        <w:rPr>
          <w:rFonts w:ascii="Calibri" w:eastAsia="Calibri" w:hAnsi="Calibri" w:cs="Calibri"/>
          <w:b/>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rFonts w:ascii="Calibri" w:eastAsia="Calibri" w:hAnsi="Calibri" w:cs="Calibri"/>
          <w:b/>
          <w:sz w:val="24"/>
        </w:rPr>
        <w:t xml:space="preserve"> </w:t>
      </w:r>
    </w:p>
    <w:p w:rsidR="0076001D" w:rsidRDefault="0034129A">
      <w:pPr>
        <w:spacing w:after="0" w:line="259" w:lineRule="auto"/>
        <w:ind w:left="0" w:firstLine="0"/>
        <w:jc w:val="left"/>
      </w:pPr>
      <w:r>
        <w:rPr>
          <w:rFonts w:ascii="Calibri" w:eastAsia="Calibri" w:hAnsi="Calibri" w:cs="Calibri"/>
          <w:b/>
          <w:sz w:val="24"/>
        </w:rPr>
        <w:t xml:space="preserve"> </w:t>
      </w:r>
    </w:p>
    <w:p w:rsidR="0076001D" w:rsidRDefault="0034129A">
      <w:pPr>
        <w:spacing w:after="17" w:line="259" w:lineRule="auto"/>
        <w:ind w:left="0" w:firstLine="0"/>
        <w:jc w:val="left"/>
      </w:pPr>
      <w:r>
        <w:rPr>
          <w:rFonts w:ascii="Calibri" w:eastAsia="Calibri" w:hAnsi="Calibri" w:cs="Calibri"/>
          <w:b/>
          <w:sz w:val="18"/>
        </w:rPr>
        <w:t xml:space="preserve"> </w:t>
      </w:r>
    </w:p>
    <w:p w:rsidR="0076001D" w:rsidRDefault="0034129A">
      <w:pPr>
        <w:pStyle w:val="Ttulo1"/>
        <w:tabs>
          <w:tab w:val="center" w:pos="563"/>
          <w:tab w:val="center" w:pos="1492"/>
        </w:tabs>
        <w:ind w:left="0" w:firstLine="0"/>
      </w:pPr>
      <w:r>
        <w:rPr>
          <w:rFonts w:ascii="Calibri" w:eastAsia="Calibri" w:hAnsi="Calibri" w:cs="Calibri"/>
          <w:b w:val="0"/>
        </w:rPr>
        <w:tab/>
      </w:r>
      <w:r>
        <w:t xml:space="preserve">1 </w:t>
      </w:r>
      <w:r>
        <w:tab/>
        <w:t xml:space="preserve">OBJETIVO </w:t>
      </w:r>
    </w:p>
    <w:p w:rsidR="0076001D" w:rsidRDefault="0034129A">
      <w:pPr>
        <w:spacing w:after="0" w:line="241" w:lineRule="auto"/>
        <w:ind w:left="0" w:right="9744" w:firstLine="0"/>
        <w:jc w:val="left"/>
      </w:pPr>
      <w:r>
        <w:rPr>
          <w:b/>
          <w:sz w:val="24"/>
        </w:rPr>
        <w:t xml:space="preserve"> </w:t>
      </w:r>
      <w:r>
        <w:rPr>
          <w:b/>
          <w:sz w:val="25"/>
        </w:rPr>
        <w:t xml:space="preserve"> </w:t>
      </w:r>
    </w:p>
    <w:p w:rsidR="0076001D" w:rsidRDefault="0034129A">
      <w:pPr>
        <w:spacing w:after="44"/>
        <w:ind w:left="545" w:firstLine="0"/>
      </w:pPr>
      <w:r>
        <w:t xml:space="preserve">Prestación de servicios profesionales para apoyar las actividades a realizar en la auditoria al proceso de gestión tecnológica </w:t>
      </w:r>
    </w:p>
    <w:p w:rsidR="0076001D" w:rsidRDefault="0034129A">
      <w:pPr>
        <w:spacing w:after="0" w:line="259" w:lineRule="auto"/>
        <w:ind w:left="0" w:firstLine="0"/>
        <w:jc w:val="left"/>
      </w:pPr>
      <w:r>
        <w:rPr>
          <w:sz w:val="24"/>
        </w:rPr>
        <w:t xml:space="preserve"> </w:t>
      </w:r>
    </w:p>
    <w:p w:rsidR="0076001D" w:rsidRDefault="0034129A">
      <w:pPr>
        <w:spacing w:after="151" w:line="259" w:lineRule="auto"/>
        <w:ind w:left="0" w:firstLine="0"/>
        <w:jc w:val="left"/>
      </w:pPr>
      <w:r>
        <w:rPr>
          <w:sz w:val="24"/>
        </w:rPr>
        <w:t xml:space="preserve"> </w:t>
      </w:r>
    </w:p>
    <w:p w:rsidR="0076001D" w:rsidRDefault="0034129A">
      <w:pPr>
        <w:pStyle w:val="Ttulo1"/>
        <w:tabs>
          <w:tab w:val="center" w:pos="563"/>
          <w:tab w:val="center" w:pos="1473"/>
        </w:tabs>
        <w:ind w:left="0" w:firstLine="0"/>
      </w:pPr>
      <w:r>
        <w:rPr>
          <w:rFonts w:ascii="Calibri" w:eastAsia="Calibri" w:hAnsi="Calibri" w:cs="Calibri"/>
          <w:b w:val="0"/>
        </w:rPr>
        <w:tab/>
      </w:r>
      <w:r>
        <w:t xml:space="preserve">2 </w:t>
      </w:r>
      <w:r>
        <w:tab/>
        <w:t xml:space="preserve">ALCANCE </w:t>
      </w:r>
    </w:p>
    <w:p w:rsidR="0076001D" w:rsidRDefault="0034129A">
      <w:pPr>
        <w:spacing w:after="14" w:line="259" w:lineRule="auto"/>
        <w:ind w:left="0" w:firstLine="0"/>
        <w:jc w:val="left"/>
      </w:pPr>
      <w:r>
        <w:rPr>
          <w:b/>
          <w:sz w:val="24"/>
        </w:rPr>
        <w:t xml:space="preserve"> </w:t>
      </w:r>
    </w:p>
    <w:p w:rsidR="0076001D" w:rsidRDefault="0034129A">
      <w:pPr>
        <w:spacing w:after="0" w:line="259" w:lineRule="auto"/>
        <w:ind w:left="0" w:firstLine="0"/>
        <w:jc w:val="left"/>
      </w:pPr>
      <w:r>
        <w:rPr>
          <w:b/>
          <w:sz w:val="28"/>
        </w:rPr>
        <w:t xml:space="preserve"> </w:t>
      </w:r>
    </w:p>
    <w:p w:rsidR="0076001D" w:rsidRDefault="0034129A">
      <w:pPr>
        <w:ind w:left="545" w:firstLine="0"/>
      </w:pPr>
      <w:r>
        <w:t xml:space="preserve">Controles generales de la gestión tecnología con respecto a los escenarios: </w:t>
      </w:r>
    </w:p>
    <w:p w:rsidR="0076001D" w:rsidRDefault="0034129A">
      <w:pPr>
        <w:spacing w:after="20" w:line="259" w:lineRule="auto"/>
        <w:ind w:left="0" w:firstLine="0"/>
        <w:jc w:val="left"/>
      </w:pPr>
      <w:r>
        <w:rPr>
          <w:sz w:val="20"/>
        </w:rPr>
        <w:t xml:space="preserve"> </w:t>
      </w:r>
    </w:p>
    <w:p w:rsidR="0076001D" w:rsidRDefault="0034129A">
      <w:pPr>
        <w:numPr>
          <w:ilvl w:val="0"/>
          <w:numId w:val="4"/>
        </w:numPr>
        <w:ind w:firstLine="0"/>
      </w:pPr>
      <w:r>
        <w:t xml:space="preserve">Planeación Estratégica del proceso. </w:t>
      </w:r>
    </w:p>
    <w:p w:rsidR="0076001D" w:rsidRDefault="0034129A">
      <w:pPr>
        <w:numPr>
          <w:ilvl w:val="0"/>
          <w:numId w:val="4"/>
        </w:numPr>
        <w:ind w:firstLine="0"/>
      </w:pPr>
      <w:r>
        <w:t xml:space="preserve">Desarrollo y adquisición de software aplicativo </w:t>
      </w:r>
    </w:p>
    <w:p w:rsidR="0076001D" w:rsidRDefault="0034129A">
      <w:pPr>
        <w:numPr>
          <w:ilvl w:val="0"/>
          <w:numId w:val="4"/>
        </w:numPr>
        <w:ind w:firstLine="0"/>
      </w:pPr>
      <w:r>
        <w:t xml:space="preserve">Administración de datos y seguridad lógica </w:t>
      </w:r>
      <w:r>
        <w:rPr>
          <w:rFonts w:ascii="Segoe UI Symbol" w:eastAsia="Segoe UI Symbol" w:hAnsi="Segoe UI Symbol" w:cs="Segoe UI Symbol"/>
        </w:rPr>
        <w:t>•</w:t>
      </w:r>
      <w:r>
        <w:t xml:space="preserve"> </w:t>
      </w:r>
      <w:r>
        <w:tab/>
        <w:t xml:space="preserve">Administración de recursos de TI. </w:t>
      </w:r>
    </w:p>
    <w:p w:rsidR="0076001D" w:rsidRDefault="0034129A">
      <w:pPr>
        <w:spacing w:after="132" w:line="259" w:lineRule="auto"/>
        <w:ind w:left="0" w:firstLine="0"/>
        <w:jc w:val="left"/>
      </w:pPr>
      <w:r>
        <w:rPr>
          <w:sz w:val="26"/>
        </w:rPr>
        <w:t xml:space="preserve"> </w:t>
      </w:r>
    </w:p>
    <w:p w:rsidR="0076001D" w:rsidRDefault="0034129A">
      <w:pPr>
        <w:pStyle w:val="Ttulo1"/>
        <w:tabs>
          <w:tab w:val="center" w:pos="563"/>
          <w:tab w:val="center" w:pos="2357"/>
        </w:tabs>
        <w:ind w:left="0" w:firstLine="0"/>
      </w:pPr>
      <w:r>
        <w:rPr>
          <w:rFonts w:ascii="Calibri" w:eastAsia="Calibri" w:hAnsi="Calibri" w:cs="Calibri"/>
          <w:b w:val="0"/>
        </w:rPr>
        <w:tab/>
      </w:r>
      <w:r>
        <w:t xml:space="preserve">3 </w:t>
      </w:r>
      <w:r>
        <w:tab/>
        <w:t xml:space="preserve">CRITERIOS DE AUDITORIA </w:t>
      </w:r>
    </w:p>
    <w:p w:rsidR="0076001D" w:rsidRDefault="0034129A">
      <w:pPr>
        <w:spacing w:after="0" w:line="245" w:lineRule="auto"/>
        <w:ind w:left="0" w:right="9744" w:firstLine="0"/>
        <w:jc w:val="left"/>
      </w:pPr>
      <w:r>
        <w:rPr>
          <w:b/>
          <w:sz w:val="24"/>
        </w:rPr>
        <w:t xml:space="preserve"> </w:t>
      </w:r>
      <w:r>
        <w:rPr>
          <w:b/>
          <w:sz w:val="25"/>
        </w:rPr>
        <w:t xml:space="preserve"> </w:t>
      </w:r>
    </w:p>
    <w:p w:rsidR="0076001D" w:rsidRDefault="0034129A">
      <w:pPr>
        <w:numPr>
          <w:ilvl w:val="0"/>
          <w:numId w:val="5"/>
        </w:numPr>
        <w:ind w:hanging="360"/>
      </w:pPr>
      <w:r>
        <w:t xml:space="preserve">PRO-GT-12-05 Mantenimiento de Infraestructura Tecnológica </w:t>
      </w:r>
    </w:p>
    <w:p w:rsidR="0076001D" w:rsidRDefault="0034129A">
      <w:pPr>
        <w:numPr>
          <w:ilvl w:val="0"/>
          <w:numId w:val="5"/>
        </w:numPr>
        <w:ind w:hanging="360"/>
      </w:pPr>
      <w:r>
        <w:t xml:space="preserve">PRO-GT-12-07 Registro de Activos de Información tipo Software, Hardware y Servicios </w:t>
      </w:r>
    </w:p>
    <w:p w:rsidR="0076001D" w:rsidRDefault="0034129A">
      <w:pPr>
        <w:numPr>
          <w:ilvl w:val="0"/>
          <w:numId w:val="5"/>
        </w:numPr>
        <w:ind w:hanging="360"/>
      </w:pPr>
      <w:r>
        <w:t xml:space="preserve">PRO-GT-12-08 Formulación y Seguimiento al PETIC </w:t>
      </w:r>
    </w:p>
    <w:p w:rsidR="0076001D" w:rsidRDefault="0034129A">
      <w:pPr>
        <w:numPr>
          <w:ilvl w:val="0"/>
          <w:numId w:val="5"/>
        </w:numPr>
        <w:ind w:hanging="360"/>
      </w:pPr>
      <w:r>
        <w:t xml:space="preserve">PRO-GT-12-10 Mesa de Servicios </w:t>
      </w:r>
    </w:p>
    <w:p w:rsidR="0076001D" w:rsidRDefault="0034129A">
      <w:pPr>
        <w:numPr>
          <w:ilvl w:val="0"/>
          <w:numId w:val="5"/>
        </w:numPr>
        <w:ind w:hanging="360"/>
      </w:pPr>
      <w:r>
        <w:t xml:space="preserve">Referencia Manual de Gobierno Digital V7 2019 </w:t>
      </w:r>
    </w:p>
    <w:p w:rsidR="0076001D" w:rsidRDefault="0034129A">
      <w:pPr>
        <w:spacing w:after="96" w:line="259" w:lineRule="auto"/>
        <w:ind w:left="0" w:firstLine="0"/>
        <w:jc w:val="left"/>
      </w:pPr>
      <w:r>
        <w:rPr>
          <w:sz w:val="26"/>
        </w:rPr>
        <w:t xml:space="preserve"> </w:t>
      </w:r>
    </w:p>
    <w:p w:rsidR="0076001D" w:rsidRDefault="0034129A">
      <w:pPr>
        <w:spacing w:after="0" w:line="259" w:lineRule="auto"/>
        <w:ind w:left="0" w:firstLine="0"/>
        <w:jc w:val="left"/>
      </w:pPr>
      <w:r>
        <w:rPr>
          <w:sz w:val="38"/>
        </w:rPr>
        <w:t xml:space="preserve"> </w:t>
      </w:r>
    </w:p>
    <w:p w:rsidR="0076001D" w:rsidRDefault="0034129A">
      <w:pPr>
        <w:pStyle w:val="Ttulo1"/>
        <w:tabs>
          <w:tab w:val="center" w:pos="563"/>
          <w:tab w:val="center" w:pos="1766"/>
        </w:tabs>
        <w:ind w:left="0" w:firstLine="0"/>
      </w:pPr>
      <w:r>
        <w:rPr>
          <w:rFonts w:ascii="Calibri" w:eastAsia="Calibri" w:hAnsi="Calibri" w:cs="Calibri"/>
          <w:b w:val="0"/>
        </w:rPr>
        <w:lastRenderedPageBreak/>
        <w:tab/>
      </w:r>
      <w:r>
        <w:t xml:space="preserve">4 </w:t>
      </w:r>
      <w:r>
        <w:tab/>
        <w:t xml:space="preserve">METODOLOGIA </w:t>
      </w:r>
    </w:p>
    <w:p w:rsidR="0076001D" w:rsidRDefault="0034129A">
      <w:pPr>
        <w:spacing w:after="0" w:line="241" w:lineRule="auto"/>
        <w:ind w:left="0" w:right="9744" w:firstLine="0"/>
        <w:jc w:val="left"/>
      </w:pPr>
      <w:r>
        <w:rPr>
          <w:b/>
          <w:sz w:val="24"/>
        </w:rPr>
        <w:t xml:space="preserve"> </w:t>
      </w:r>
      <w:r>
        <w:rPr>
          <w:b/>
          <w:sz w:val="25"/>
        </w:rPr>
        <w:t xml:space="preserve"> </w:t>
      </w:r>
    </w:p>
    <w:p w:rsidR="0076001D" w:rsidRDefault="0034129A">
      <w:pPr>
        <w:spacing w:after="224"/>
        <w:ind w:left="545" w:right="178" w:firstLine="0"/>
      </w:pPr>
      <w:r>
        <w:t>La auditoría se ejecutó conforme a lo establecido por la entidad en sus Procedimientos de Auditorías Internas con el apoyo en algunos lineamientos y buenas prácticas d</w:t>
      </w:r>
      <w:r>
        <w:rPr>
          <w:color w:val="212121"/>
        </w:rPr>
        <w:t>el Manual  para la Implementación de la Política de Gobierno Digital Versión 7 abril de 2019</w:t>
      </w:r>
      <w:r>
        <w:t xml:space="preserve"> </w:t>
      </w:r>
    </w:p>
    <w:p w:rsidR="0076001D" w:rsidRDefault="0034129A">
      <w:pPr>
        <w:spacing w:after="5" w:line="249" w:lineRule="auto"/>
        <w:ind w:left="512" w:right="168" w:hanging="10"/>
      </w:pPr>
      <w:r>
        <w:rPr>
          <w:color w:val="212121"/>
        </w:rPr>
        <w:t>Para efectos de la auditoría se revisan los controles generales de los escenarios planteados en el alcance, junto con la revisión de la configuración de controles en la plataforma tecnológica del IDEP.</w:t>
      </w:r>
      <w:r>
        <w:t xml:space="preserve"> </w:t>
      </w:r>
    </w:p>
    <w:p w:rsidR="0076001D" w:rsidRDefault="0034129A">
      <w:pPr>
        <w:spacing w:after="156" w:line="259" w:lineRule="auto"/>
        <w:ind w:left="0" w:firstLine="0"/>
        <w:jc w:val="left"/>
      </w:pPr>
      <w:r>
        <w:rPr>
          <w:sz w:val="14"/>
        </w:rPr>
        <w:t xml:space="preserve"> </w:t>
      </w:r>
    </w:p>
    <w:p w:rsidR="0076001D" w:rsidRDefault="0034129A">
      <w:pPr>
        <w:spacing w:after="225" w:line="249" w:lineRule="auto"/>
        <w:ind w:left="512" w:right="168" w:hanging="10"/>
      </w:pPr>
      <w:r>
        <w:rPr>
          <w:color w:val="212121"/>
        </w:rPr>
        <w:t>La auditoría de controles generales no corresponde a una auditoría de cumplimiento del sistema de gestión de calidad, por lo tanto, se da reconocimiento a los instrumentos y procedimientos aplicados por la OAP para la gestión y operación de servicios tecnológicos sin condicionamiento de que dichos instrumentos o procedimientos sean documentos controlados del sistema de gestión.</w:t>
      </w:r>
      <w:r>
        <w:t xml:space="preserve"> </w:t>
      </w:r>
    </w:p>
    <w:p w:rsidR="0076001D" w:rsidRDefault="0034129A">
      <w:pPr>
        <w:spacing w:after="5" w:line="249" w:lineRule="auto"/>
        <w:ind w:left="512" w:right="168" w:hanging="10"/>
      </w:pPr>
      <w:r>
        <w:rPr>
          <w:color w:val="212121"/>
        </w:rPr>
        <w:t>Las actividades realizadas son las siguientes:</w:t>
      </w:r>
      <w:r>
        <w:t xml:space="preserve"> </w:t>
      </w:r>
    </w:p>
    <w:p w:rsidR="0076001D" w:rsidRDefault="0034129A">
      <w:pPr>
        <w:spacing w:after="0" w:line="259" w:lineRule="auto"/>
        <w:ind w:left="0" w:firstLine="0"/>
        <w:jc w:val="left"/>
      </w:pPr>
      <w:r>
        <w:rPr>
          <w:sz w:val="20"/>
        </w:rPr>
        <w:t xml:space="preserve"> </w:t>
      </w:r>
    </w:p>
    <w:p w:rsidR="0076001D" w:rsidRDefault="0034129A">
      <w:pPr>
        <w:numPr>
          <w:ilvl w:val="0"/>
          <w:numId w:val="6"/>
        </w:numPr>
        <w:spacing w:after="5" w:line="249" w:lineRule="auto"/>
        <w:ind w:right="168" w:hanging="360"/>
      </w:pPr>
      <w:r>
        <w:rPr>
          <w:color w:val="212121"/>
        </w:rPr>
        <w:t>Entrevistas con los responsables de procesos, proyectos o gestión de activos TIC.</w:t>
      </w:r>
      <w:r>
        <w:t xml:space="preserve"> </w:t>
      </w:r>
    </w:p>
    <w:p w:rsidR="0076001D" w:rsidRDefault="0034129A">
      <w:pPr>
        <w:numPr>
          <w:ilvl w:val="0"/>
          <w:numId w:val="6"/>
        </w:numPr>
        <w:spacing w:after="5" w:line="249" w:lineRule="auto"/>
        <w:ind w:right="168" w:hanging="360"/>
      </w:pPr>
      <w:r>
        <w:rPr>
          <w:color w:val="212121"/>
        </w:rPr>
        <w:t>Levantamiento de información documental como evidencia de planeación, ejecución, seguimiento y acciones de mejora.</w:t>
      </w:r>
      <w:r>
        <w:t xml:space="preserve"> </w:t>
      </w:r>
    </w:p>
    <w:p w:rsidR="0076001D" w:rsidRDefault="0034129A">
      <w:pPr>
        <w:numPr>
          <w:ilvl w:val="0"/>
          <w:numId w:val="6"/>
        </w:numPr>
        <w:spacing w:after="5" w:line="249" w:lineRule="auto"/>
        <w:ind w:right="168" w:hanging="360"/>
      </w:pPr>
      <w:r>
        <w:rPr>
          <w:color w:val="212121"/>
        </w:rPr>
        <w:t>Inspección remota y captura de evidencias de la configuración de activos de la plataforma TIC.</w:t>
      </w:r>
      <w:r>
        <w:t xml:space="preserve"> </w:t>
      </w:r>
    </w:p>
    <w:p w:rsidR="0076001D" w:rsidRDefault="0034129A">
      <w:pPr>
        <w:numPr>
          <w:ilvl w:val="0"/>
          <w:numId w:val="6"/>
        </w:numPr>
        <w:spacing w:after="5" w:line="249" w:lineRule="auto"/>
        <w:ind w:right="168" w:hanging="360"/>
      </w:pPr>
      <w:r>
        <w:rPr>
          <w:color w:val="212121"/>
        </w:rPr>
        <w:t>Análisis documental y de evidencias.</w:t>
      </w:r>
      <w:r>
        <w:t xml:space="preserve"> </w:t>
      </w:r>
    </w:p>
    <w:p w:rsidR="0076001D" w:rsidRDefault="0034129A">
      <w:pPr>
        <w:numPr>
          <w:ilvl w:val="0"/>
          <w:numId w:val="6"/>
        </w:numPr>
        <w:spacing w:after="5" w:line="249" w:lineRule="auto"/>
        <w:ind w:right="168" w:hanging="360"/>
      </w:pPr>
      <w:r>
        <w:rPr>
          <w:color w:val="212121"/>
        </w:rPr>
        <w:t>Identificación de oportunidades de mejora, elaboración de informe y emisión de recomendaciones.</w:t>
      </w:r>
      <w:r>
        <w:t xml:space="preserve"> </w:t>
      </w:r>
    </w:p>
    <w:p w:rsidR="0076001D" w:rsidRDefault="0034129A">
      <w:pPr>
        <w:spacing w:after="172" w:line="259" w:lineRule="auto"/>
        <w:ind w:left="0" w:firstLine="0"/>
        <w:jc w:val="left"/>
      </w:pPr>
      <w:r>
        <w:rPr>
          <w:sz w:val="24"/>
        </w:rPr>
        <w:t xml:space="preserve"> </w:t>
      </w:r>
    </w:p>
    <w:p w:rsidR="0076001D" w:rsidRDefault="0034129A">
      <w:pPr>
        <w:spacing w:after="221"/>
        <w:ind w:left="545" w:firstLine="0"/>
      </w:pPr>
      <w:r>
        <w:t xml:space="preserve">El área que suministro la información es el proceso de Tecnología de la Información y Comunicaciones </w:t>
      </w:r>
    </w:p>
    <w:p w:rsidR="0076001D" w:rsidRDefault="0034129A">
      <w:pPr>
        <w:ind w:left="545" w:firstLine="0"/>
      </w:pPr>
      <w:r>
        <w:t xml:space="preserve">La auditoría fue ejecutada de acuerdo a la siguiente línea de tiempo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15"/>
        </w:rPr>
        <w:t xml:space="preserve"> </w:t>
      </w:r>
    </w:p>
    <w:p w:rsidR="0076001D" w:rsidRDefault="0034129A">
      <w:pPr>
        <w:spacing w:after="10" w:line="259" w:lineRule="auto"/>
        <w:ind w:left="585" w:right="-417" w:firstLine="0"/>
        <w:jc w:val="left"/>
      </w:pPr>
      <w:r>
        <w:rPr>
          <w:noProof/>
          <w:lang w:val="es-ES" w:eastAsia="es-ES"/>
        </w:rPr>
        <w:drawing>
          <wp:inline distT="0" distB="0" distL="0" distR="0">
            <wp:extent cx="6125210" cy="2102993"/>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7"/>
                    <a:stretch>
                      <a:fillRect/>
                    </a:stretch>
                  </pic:blipFill>
                  <pic:spPr>
                    <a:xfrm>
                      <a:off x="0" y="0"/>
                      <a:ext cx="6125210" cy="2102993"/>
                    </a:xfrm>
                    <a:prstGeom prst="rect">
                      <a:avLst/>
                    </a:prstGeom>
                  </pic:spPr>
                </pic:pic>
              </a:graphicData>
            </a:graphic>
          </wp:inline>
        </w:drawing>
      </w:r>
    </w:p>
    <w:p w:rsidR="0076001D" w:rsidRDefault="0034129A">
      <w:pPr>
        <w:spacing w:after="127" w:line="259" w:lineRule="auto"/>
        <w:ind w:left="0" w:firstLine="0"/>
        <w:jc w:val="left"/>
      </w:pPr>
      <w:r>
        <w:rPr>
          <w:sz w:val="17"/>
        </w:rPr>
        <w:t xml:space="preserve"> </w:t>
      </w:r>
    </w:p>
    <w:p w:rsidR="0076001D" w:rsidRDefault="0034129A">
      <w:pPr>
        <w:pStyle w:val="Ttulo2"/>
        <w:tabs>
          <w:tab w:val="center" w:pos="656"/>
          <w:tab w:val="center" w:pos="2551"/>
        </w:tabs>
        <w:ind w:left="0" w:firstLine="0"/>
      </w:pPr>
      <w:r>
        <w:rPr>
          <w:rFonts w:ascii="Calibri" w:eastAsia="Calibri" w:hAnsi="Calibri" w:cs="Calibri"/>
          <w:b w:val="0"/>
        </w:rPr>
        <w:lastRenderedPageBreak/>
        <w:tab/>
      </w:r>
      <w:r>
        <w:t xml:space="preserve">4.1 </w:t>
      </w:r>
      <w:r>
        <w:tab/>
        <w:t xml:space="preserve">Presentación de Resultados </w:t>
      </w:r>
    </w:p>
    <w:p w:rsidR="0076001D" w:rsidRDefault="0034129A">
      <w:pPr>
        <w:spacing w:after="0" w:line="259" w:lineRule="auto"/>
        <w:ind w:left="0" w:firstLine="0"/>
        <w:jc w:val="left"/>
      </w:pPr>
      <w:r>
        <w:rPr>
          <w:b/>
          <w:sz w:val="24"/>
        </w:rPr>
        <w:t xml:space="preserve"> </w:t>
      </w:r>
    </w:p>
    <w:p w:rsidR="0076001D" w:rsidRDefault="0034129A">
      <w:pPr>
        <w:spacing w:after="0" w:line="259" w:lineRule="auto"/>
        <w:ind w:left="0" w:firstLine="0"/>
        <w:jc w:val="left"/>
      </w:pPr>
      <w:r>
        <w:rPr>
          <w:b/>
          <w:sz w:val="26"/>
        </w:rPr>
        <w:t xml:space="preserve"> </w:t>
      </w:r>
    </w:p>
    <w:p w:rsidR="0076001D" w:rsidRDefault="0034129A">
      <w:pPr>
        <w:ind w:left="545" w:right="179" w:firstLine="0"/>
      </w:pPr>
      <w:r>
        <w:t xml:space="preserve">Considerando que el alcance de la auditoría contempla el seguimiento a las recomendaciones del informe de auditoría contrato 026 de 2019, la estructura del presente informe para cada dominio del alcance incluye los siguientes elementos: </w:t>
      </w:r>
    </w:p>
    <w:p w:rsidR="0076001D" w:rsidRDefault="0034129A">
      <w:pPr>
        <w:spacing w:after="0" w:line="259" w:lineRule="auto"/>
        <w:ind w:left="0" w:firstLine="0"/>
        <w:jc w:val="left"/>
      </w:pPr>
      <w:r>
        <w:rPr>
          <w:sz w:val="27"/>
        </w:rPr>
        <w:t xml:space="preserve"> </w:t>
      </w:r>
    </w:p>
    <w:p w:rsidR="0076001D" w:rsidRDefault="0034129A">
      <w:pPr>
        <w:spacing w:after="0" w:line="259" w:lineRule="auto"/>
        <w:ind w:left="501" w:firstLine="0"/>
        <w:jc w:val="left"/>
      </w:pPr>
      <w:r>
        <w:rPr>
          <w:noProof/>
          <w:lang w:val="es-ES" w:eastAsia="es-ES"/>
        </w:rPr>
        <w:drawing>
          <wp:inline distT="0" distB="0" distL="0" distR="0">
            <wp:extent cx="227546" cy="136525"/>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987" name="Picture 987"/>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spacing w:after="158"/>
        <w:ind w:left="545" w:right="185" w:firstLine="349"/>
      </w:pPr>
      <w:r>
        <w:rPr>
          <w:b/>
        </w:rPr>
        <w:t>Observaciones</w:t>
      </w:r>
      <w:r>
        <w:t xml:space="preserve">: Corresponden a los aspectos positivos (fortalezas) y negativos (debilidades) identificadas para el proceso de Gestión de Tecnología de Información y las Comunicaciones. Se utiliza la siguiente nomenclatura: </w:t>
      </w:r>
      <w:r>
        <w:rPr>
          <w:noProof/>
          <w:lang w:val="es-ES" w:eastAsia="es-ES"/>
        </w:rPr>
        <w:drawing>
          <wp:inline distT="0" distB="0" distL="0" distR="0">
            <wp:extent cx="179832" cy="170688"/>
            <wp:effectExtent l="0" t="0" r="0" b="0"/>
            <wp:docPr id="201328" name="Picture 201328"/>
            <wp:cNvGraphicFramePr/>
            <a:graphic xmlns:a="http://schemas.openxmlformats.org/drawingml/2006/main">
              <a:graphicData uri="http://schemas.openxmlformats.org/drawingml/2006/picture">
                <pic:pic xmlns:pic="http://schemas.openxmlformats.org/drawingml/2006/picture">
                  <pic:nvPicPr>
                    <pic:cNvPr id="201328" name="Picture 201328"/>
                    <pic:cNvPicPr/>
                  </pic:nvPicPr>
                  <pic:blipFill>
                    <a:blip r:embed="rId9"/>
                    <a:stretch>
                      <a:fillRect/>
                    </a:stretch>
                  </pic:blipFill>
                  <pic:spPr>
                    <a:xfrm>
                      <a:off x="0" y="0"/>
                      <a:ext cx="179832" cy="170688"/>
                    </a:xfrm>
                    <a:prstGeom prst="rect">
                      <a:avLst/>
                    </a:prstGeom>
                  </pic:spPr>
                </pic:pic>
              </a:graphicData>
            </a:graphic>
          </wp:inline>
        </w:drawing>
      </w:r>
      <w:r>
        <w:rPr>
          <w:rFonts w:ascii="Times New Roman" w:eastAsia="Times New Roman" w:hAnsi="Times New Roman" w:cs="Times New Roman"/>
          <w:sz w:val="20"/>
        </w:rPr>
        <w:t xml:space="preserve"> </w:t>
      </w:r>
      <w:r>
        <w:t xml:space="preserve">Observación Positiva. </w:t>
      </w:r>
    </w:p>
    <w:p w:rsidR="0076001D" w:rsidRDefault="0034129A">
      <w:pPr>
        <w:spacing w:after="38" w:line="341" w:lineRule="auto"/>
        <w:ind w:left="1121" w:right="2327" w:firstLine="701"/>
      </w:pPr>
      <w:r>
        <w:rPr>
          <w:rFonts w:ascii="Calibri" w:eastAsia="Calibri" w:hAnsi="Calibri" w:cs="Calibri"/>
          <w:noProof/>
          <w:lang w:val="es-ES" w:eastAsia="es-ES"/>
        </w:rPr>
        <mc:AlternateContent>
          <mc:Choice Requires="wpg">
            <w:drawing>
              <wp:anchor distT="0" distB="0" distL="114300" distR="114300" simplePos="0" relativeHeight="251658240" behindDoc="0" locked="0" layoutInCell="1" allowOverlap="1">
                <wp:simplePos x="0" y="0"/>
                <wp:positionH relativeFrom="column">
                  <wp:posOffset>498475</wp:posOffset>
                </wp:positionH>
                <wp:positionV relativeFrom="paragraph">
                  <wp:posOffset>-53451</wp:posOffset>
                </wp:positionV>
                <wp:extent cx="275806" cy="409322"/>
                <wp:effectExtent l="0" t="0" r="0" b="0"/>
                <wp:wrapSquare wrapText="bothSides"/>
                <wp:docPr id="157709" name="Group 157709"/>
                <wp:cNvGraphicFramePr/>
                <a:graphic xmlns:a="http://schemas.openxmlformats.org/drawingml/2006/main">
                  <a:graphicData uri="http://schemas.microsoft.com/office/word/2010/wordprocessingGroup">
                    <wpg:wgp>
                      <wpg:cNvGrpSpPr/>
                      <wpg:grpSpPr>
                        <a:xfrm>
                          <a:off x="0" y="0"/>
                          <a:ext cx="275806" cy="409322"/>
                          <a:chOff x="0" y="0"/>
                          <a:chExt cx="275806" cy="409322"/>
                        </a:xfrm>
                      </wpg:grpSpPr>
                      <pic:pic xmlns:pic="http://schemas.openxmlformats.org/drawingml/2006/picture">
                        <pic:nvPicPr>
                          <pic:cNvPr id="201329" name="Picture 201329"/>
                          <pic:cNvPicPr/>
                        </pic:nvPicPr>
                        <pic:blipFill>
                          <a:blip r:embed="rId10"/>
                          <a:stretch>
                            <a:fillRect/>
                          </a:stretch>
                        </pic:blipFill>
                        <pic:spPr>
                          <a:xfrm>
                            <a:off x="-3682" y="209550"/>
                            <a:ext cx="216408" cy="201168"/>
                          </a:xfrm>
                          <a:prstGeom prst="rect">
                            <a:avLst/>
                          </a:prstGeom>
                        </pic:spPr>
                      </pic:pic>
                      <pic:pic xmlns:pic="http://schemas.openxmlformats.org/drawingml/2006/picture">
                        <pic:nvPicPr>
                          <pic:cNvPr id="989" name="Picture 989"/>
                          <pic:cNvPicPr/>
                        </pic:nvPicPr>
                        <pic:blipFill>
                          <a:blip r:embed="rId8"/>
                          <a:stretch>
                            <a:fillRect/>
                          </a:stretch>
                        </pic:blipFill>
                        <pic:spPr>
                          <a:xfrm>
                            <a:off x="48260" y="0"/>
                            <a:ext cx="227546" cy="136525"/>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157709" style="width:21.717pt;height:32.23pt;position:absolute;mso-position-horizontal-relative:text;mso-position-horizontal:absolute;margin-left:39.25pt;mso-position-vertical-relative:text;margin-top:-4.2088pt;" coordsize="2758,4093">
                <v:shape id="Picture 201329" style="position:absolute;width:2164;height:2011;left:-36;top:2095;" filled="f">
                  <v:imagedata r:id="rId58"/>
                </v:shape>
                <v:shape id="Picture 989" style="position:absolute;width:2275;height:1365;left:482;top:0;" filled="f">
                  <v:imagedata r:id="rId56"/>
                </v:shape>
                <w10:wrap type="square"/>
              </v:group>
            </w:pict>
          </mc:Fallback>
        </mc:AlternateContent>
      </w:r>
      <w:r>
        <w:t xml:space="preserve">Observación positiva con opción de mejora. </w:t>
      </w:r>
      <w:r>
        <w:rPr>
          <w:rFonts w:ascii="Times New Roman" w:eastAsia="Times New Roman" w:hAnsi="Times New Roman" w:cs="Times New Roman"/>
          <w:sz w:val="20"/>
        </w:rPr>
        <w:t xml:space="preserve">  </w:t>
      </w:r>
      <w:r>
        <w:t xml:space="preserve">Observación negativa que amerita una acción de mejora. </w:t>
      </w:r>
    </w:p>
    <w:p w:rsidR="0076001D" w:rsidRDefault="0034129A">
      <w:pPr>
        <w:spacing w:after="0" w:line="259" w:lineRule="auto"/>
        <w:ind w:left="0" w:right="8954" w:firstLine="0"/>
        <w:jc w:val="left"/>
      </w:pPr>
      <w:r>
        <w:rPr>
          <w:sz w:val="34"/>
        </w:rPr>
        <w:t xml:space="preserve"> </w:t>
      </w:r>
    </w:p>
    <w:p w:rsidR="0076001D" w:rsidRDefault="0034129A">
      <w:pPr>
        <w:ind w:left="914" w:right="186"/>
      </w:pPr>
      <w:r>
        <w:rPr>
          <w:noProof/>
          <w:lang w:val="es-ES" w:eastAsia="es-ES"/>
        </w:rPr>
        <w:drawing>
          <wp:inline distT="0" distB="0" distL="0" distR="0">
            <wp:extent cx="227546" cy="136525"/>
            <wp:effectExtent l="0" t="0" r="0" b="0"/>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8"/>
                    <a:stretch>
                      <a:fillRect/>
                    </a:stretch>
                  </pic:blipFill>
                  <pic:spPr>
                    <a:xfrm>
                      <a:off x="0" y="0"/>
                      <a:ext cx="227546" cy="136525"/>
                    </a:xfrm>
                    <a:prstGeom prst="rect">
                      <a:avLst/>
                    </a:prstGeom>
                  </pic:spPr>
                </pic:pic>
              </a:graphicData>
            </a:graphic>
          </wp:inline>
        </w:drawing>
      </w:r>
      <w:r>
        <w:rPr>
          <w:b/>
        </w:rPr>
        <w:t xml:space="preserve"> Recomendaciones: </w:t>
      </w:r>
      <w:r>
        <w:t xml:space="preserve">Corresponde a las oportunidades de mejora que deben ser atendidas por el proceso de TI en respuesta a los hallazgos negativos o debilidades identificados en el ejercicio de la auditoría y que son la fuente para determinar y priorizar las acciones de mejoramiento. Vale aclarar que los hallazgos positivos no derivan en recomendaciones. Incluye dos elementos: </w:t>
      </w:r>
    </w:p>
    <w:p w:rsidR="0076001D" w:rsidRDefault="0034129A">
      <w:pPr>
        <w:spacing w:after="0" w:line="259" w:lineRule="auto"/>
        <w:ind w:left="0" w:firstLine="0"/>
        <w:jc w:val="left"/>
      </w:pPr>
      <w:r>
        <w:rPr>
          <w:sz w:val="21"/>
        </w:rPr>
        <w:t xml:space="preserve"> </w:t>
      </w:r>
    </w:p>
    <w:p w:rsidR="0076001D" w:rsidRDefault="0034129A">
      <w:pPr>
        <w:numPr>
          <w:ilvl w:val="0"/>
          <w:numId w:val="7"/>
        </w:numPr>
        <w:ind w:right="181" w:hanging="360"/>
      </w:pPr>
      <w:r>
        <w:rPr>
          <w:b/>
        </w:rPr>
        <w:t>Seguimiento a las recomendaciones</w:t>
      </w:r>
      <w:r>
        <w:t xml:space="preserve">: corresponde a los resultados el seguimiento a las acciones de mejoramiento implementadas por la OAP en respuesta a cada una de las recomendaciones emitidas en el informe de auditoría contrato 026 de 2019. </w:t>
      </w:r>
    </w:p>
    <w:p w:rsidR="0076001D" w:rsidRDefault="0034129A">
      <w:pPr>
        <w:spacing w:after="0" w:line="259" w:lineRule="auto"/>
        <w:ind w:left="0" w:firstLine="0"/>
        <w:jc w:val="left"/>
      </w:pPr>
      <w:r>
        <w:rPr>
          <w:sz w:val="21"/>
        </w:rPr>
        <w:t xml:space="preserve"> </w:t>
      </w:r>
    </w:p>
    <w:p w:rsidR="0076001D" w:rsidRDefault="0034129A">
      <w:pPr>
        <w:numPr>
          <w:ilvl w:val="0"/>
          <w:numId w:val="7"/>
        </w:numPr>
        <w:ind w:right="181" w:hanging="360"/>
      </w:pPr>
      <w:r>
        <w:rPr>
          <w:b/>
        </w:rPr>
        <w:t>Nuevas recomendaciones</w:t>
      </w:r>
      <w:r>
        <w:t xml:space="preserve">: corresponde a nuevas oportunidades de mejora identificadas en la presente auditoría y aquellas que no han sido atendidas y requieren de acciones de mejoramiento. </w:t>
      </w:r>
    </w:p>
    <w:p w:rsidR="0076001D" w:rsidRDefault="0034129A">
      <w:pPr>
        <w:spacing w:after="0" w:line="259" w:lineRule="auto"/>
        <w:ind w:left="0" w:firstLine="0"/>
        <w:jc w:val="left"/>
      </w:pPr>
      <w:r>
        <w:rPr>
          <w:sz w:val="24"/>
        </w:rPr>
        <w:t xml:space="preserve"> </w:t>
      </w:r>
    </w:p>
    <w:p w:rsidR="0076001D" w:rsidRDefault="0034129A">
      <w:pPr>
        <w:spacing w:after="0" w:line="259" w:lineRule="auto"/>
        <w:ind w:left="0" w:firstLine="0"/>
        <w:jc w:val="left"/>
      </w:pPr>
      <w:r>
        <w:rPr>
          <w:sz w:val="21"/>
        </w:rPr>
        <w:t xml:space="preserve"> </w:t>
      </w:r>
    </w:p>
    <w:p w:rsidR="0076001D" w:rsidRDefault="0034129A">
      <w:pPr>
        <w:spacing w:after="46"/>
        <w:ind w:left="545" w:firstLine="0"/>
      </w:pPr>
      <w:r>
        <w:t xml:space="preserve">En los capítulos correspondientes a pruebas de seguridad técnicas se incluyen imágenes de evidencia. </w:t>
      </w:r>
    </w:p>
    <w:p w:rsidR="0076001D" w:rsidRDefault="0034129A">
      <w:pPr>
        <w:spacing w:after="88" w:line="259" w:lineRule="auto"/>
        <w:ind w:left="0" w:firstLine="0"/>
        <w:jc w:val="left"/>
      </w:pPr>
      <w:r>
        <w:rPr>
          <w:sz w:val="24"/>
        </w:rPr>
        <w:t xml:space="preserve"> </w:t>
      </w:r>
    </w:p>
    <w:p w:rsidR="0076001D" w:rsidRDefault="0034129A">
      <w:pPr>
        <w:spacing w:after="0" w:line="259" w:lineRule="auto"/>
        <w:ind w:left="0" w:firstLine="0"/>
        <w:jc w:val="left"/>
      </w:pPr>
      <w:r>
        <w:rPr>
          <w:sz w:val="35"/>
        </w:rPr>
        <w:t xml:space="preserve"> </w:t>
      </w:r>
    </w:p>
    <w:p w:rsidR="0076001D" w:rsidRDefault="0034129A">
      <w:pPr>
        <w:pStyle w:val="Ttulo1"/>
        <w:tabs>
          <w:tab w:val="center" w:pos="563"/>
          <w:tab w:val="center" w:pos="3604"/>
        </w:tabs>
        <w:spacing w:after="35"/>
        <w:ind w:left="0" w:firstLine="0"/>
      </w:pPr>
      <w:r>
        <w:rPr>
          <w:rFonts w:ascii="Calibri" w:eastAsia="Calibri" w:hAnsi="Calibri" w:cs="Calibri"/>
          <w:b w:val="0"/>
        </w:rPr>
        <w:tab/>
      </w:r>
      <w:r>
        <w:t xml:space="preserve">5 </w:t>
      </w:r>
      <w:r>
        <w:tab/>
        <w:t xml:space="preserve">RESULTADOS DEL SEGUIMIENTO Y EVALUACIÓN </w:t>
      </w:r>
    </w:p>
    <w:p w:rsidR="0076001D" w:rsidRDefault="0034129A">
      <w:pPr>
        <w:spacing w:after="0" w:line="259" w:lineRule="auto"/>
        <w:ind w:left="0" w:firstLine="0"/>
        <w:jc w:val="left"/>
      </w:pPr>
      <w:r>
        <w:rPr>
          <w:b/>
          <w:sz w:val="27"/>
        </w:rPr>
        <w:t xml:space="preserve"> </w:t>
      </w:r>
    </w:p>
    <w:p w:rsidR="0076001D" w:rsidRDefault="0034129A">
      <w:pPr>
        <w:ind w:left="545" w:firstLine="0"/>
      </w:pPr>
      <w:r>
        <w:t xml:space="preserve">A continuación, se presenta para cada dominio del alcance de auditoría, </w:t>
      </w:r>
      <w:proofErr w:type="gramStart"/>
      <w:r>
        <w:t>la conclusiones</w:t>
      </w:r>
      <w:proofErr w:type="gramEnd"/>
      <w:r>
        <w:t xml:space="preserve">, observaciones y recomendaciones de mejora. </w:t>
      </w:r>
    </w:p>
    <w:p w:rsidR="0076001D" w:rsidRDefault="0034129A">
      <w:pPr>
        <w:spacing w:after="158" w:line="259" w:lineRule="auto"/>
        <w:ind w:left="0" w:firstLine="0"/>
        <w:jc w:val="left"/>
      </w:pPr>
      <w:r>
        <w:rPr>
          <w:sz w:val="14"/>
        </w:rPr>
        <w:t xml:space="preserve"> </w:t>
      </w:r>
    </w:p>
    <w:p w:rsidR="0076001D" w:rsidRDefault="0034129A">
      <w:pPr>
        <w:pStyle w:val="Ttulo2"/>
        <w:tabs>
          <w:tab w:val="center" w:pos="656"/>
          <w:tab w:val="center" w:pos="3402"/>
        </w:tabs>
        <w:ind w:left="0" w:firstLine="0"/>
      </w:pPr>
      <w:r>
        <w:rPr>
          <w:rFonts w:ascii="Calibri" w:eastAsia="Calibri" w:hAnsi="Calibri" w:cs="Calibri"/>
          <w:b w:val="0"/>
        </w:rPr>
        <w:tab/>
      </w:r>
      <w:r>
        <w:t xml:space="preserve">5.1 </w:t>
      </w:r>
      <w:r>
        <w:tab/>
        <w:t xml:space="preserve">Planeación y Organización de la Gestión TIC </w:t>
      </w:r>
    </w:p>
    <w:p w:rsidR="0076001D" w:rsidRDefault="0034129A">
      <w:pPr>
        <w:spacing w:after="9" w:line="259" w:lineRule="auto"/>
        <w:ind w:left="0" w:firstLine="0"/>
        <w:jc w:val="left"/>
      </w:pPr>
      <w:r>
        <w:rPr>
          <w:b/>
          <w:sz w:val="24"/>
        </w:rPr>
        <w:t xml:space="preserve"> </w:t>
      </w:r>
    </w:p>
    <w:p w:rsidR="0076001D" w:rsidRDefault="0034129A">
      <w:pPr>
        <w:spacing w:after="0" w:line="259" w:lineRule="auto"/>
        <w:ind w:left="0" w:firstLine="0"/>
        <w:jc w:val="left"/>
      </w:pPr>
      <w:r>
        <w:rPr>
          <w:b/>
          <w:sz w:val="27"/>
        </w:rPr>
        <w:t xml:space="preserve"> </w:t>
      </w:r>
    </w:p>
    <w:p w:rsidR="0076001D" w:rsidRDefault="0034129A">
      <w:pPr>
        <w:pStyle w:val="Ttulo3"/>
        <w:ind w:left="538"/>
      </w:pPr>
      <w:r>
        <w:t xml:space="preserve">5.1.1 Gestión Estratégica de TI </w:t>
      </w:r>
    </w:p>
    <w:p w:rsidR="0076001D" w:rsidRDefault="0034129A">
      <w:pPr>
        <w:spacing w:after="60" w:line="259" w:lineRule="auto"/>
        <w:ind w:left="0" w:firstLine="0"/>
        <w:jc w:val="left"/>
      </w:pPr>
      <w:r>
        <w:rPr>
          <w:b/>
          <w:sz w:val="24"/>
        </w:rPr>
        <w:t xml:space="preserve"> </w:t>
      </w:r>
    </w:p>
    <w:p w:rsidR="0076001D" w:rsidRDefault="0034129A">
      <w:pPr>
        <w:tabs>
          <w:tab w:val="center" w:pos="727"/>
          <w:tab w:val="center" w:pos="5308"/>
        </w:tabs>
        <w:ind w:left="0" w:firstLine="0"/>
        <w:jc w:val="left"/>
      </w:pPr>
      <w:r>
        <w:rPr>
          <w:rFonts w:ascii="Calibri" w:eastAsia="Calibri" w:hAnsi="Calibri" w:cs="Calibri"/>
        </w:rPr>
        <w:lastRenderedPageBreak/>
        <w:tab/>
      </w:r>
      <w:r>
        <w:rPr>
          <w:noProof/>
          <w:lang w:val="es-ES" w:eastAsia="es-ES"/>
        </w:rPr>
        <w:drawing>
          <wp:inline distT="0" distB="0" distL="0" distR="0">
            <wp:extent cx="227546" cy="136525"/>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8"/>
                    <a:stretch>
                      <a:fillRect/>
                    </a:stretch>
                  </pic:blipFill>
                  <pic:spPr>
                    <a:xfrm>
                      <a:off x="0" y="0"/>
                      <a:ext cx="227546" cy="136525"/>
                    </a:xfrm>
                    <a:prstGeom prst="rect">
                      <a:avLst/>
                    </a:prstGeom>
                  </pic:spPr>
                </pic:pic>
              </a:graphicData>
            </a:graphic>
          </wp:inline>
        </w:drawing>
      </w:r>
      <w:r>
        <w:tab/>
        <w:t xml:space="preserve">El PLAN ESTRATÉGICO DE DESARROLLO INSTITUCIONAL PEDI 2016-2020, ha </w:t>
      </w:r>
    </w:p>
    <w:p w:rsidR="0076001D" w:rsidRDefault="0034129A">
      <w:pPr>
        <w:spacing w:after="26" w:line="247" w:lineRule="auto"/>
        <w:ind w:left="486" w:right="160" w:firstLine="0"/>
      </w:pPr>
      <w:proofErr w:type="gramStart"/>
      <w:r>
        <w:t>establecido</w:t>
      </w:r>
      <w:proofErr w:type="gramEnd"/>
      <w:r>
        <w:t xml:space="preserve"> la meta: </w:t>
      </w:r>
      <w:r>
        <w:rPr>
          <w:i/>
        </w:rPr>
        <w:t>Sostener 100 % la implementación del Sistema integrado de Gestión SIG -MIPG (Meta 2016-2018)</w:t>
      </w:r>
      <w:r>
        <w:t>, que conforme al documento “</w:t>
      </w:r>
      <w:r>
        <w:rPr>
          <w:i/>
        </w:rPr>
        <w:t xml:space="preserve">Políticas del Sistema Integrado de </w:t>
      </w:r>
    </w:p>
    <w:p w:rsidR="0076001D" w:rsidRDefault="0034129A">
      <w:pPr>
        <w:spacing w:after="113"/>
        <w:ind w:left="545" w:right="178" w:firstLine="0"/>
      </w:pPr>
      <w:r>
        <w:rPr>
          <w:i/>
        </w:rPr>
        <w:t>Gestión y subsistemas asociados” PO-MIC-03-01” incluye el “Subsistema de Gestión de Seguridad de la Información</w:t>
      </w:r>
      <w:r>
        <w:t>”, por su parte el seguimiento al PEDI (</w:t>
      </w:r>
      <w:r>
        <w:rPr>
          <w:i/>
        </w:rPr>
        <w:t>Seguimiento_JULIO_PEDI_2020.xlsx</w:t>
      </w:r>
      <w:r>
        <w:t xml:space="preserve">) reporta para la meta señalada que se han implementado los 7 Subsistemas que conforman el SIG, dando cumplimiento a la meta, sin embargo, a la fecha no se encuentra implementado el Sistema de Gestión de Seguridad de la información conforme a lo dispuesto en el Modelo de Seguridad y privacidad de la Información (en adelante MSPI) que es parte integral de las Políticas de Gobierno digital y Seguridad Digital del MIPG. Las observaciones al respecto se emiten en el numeral 5.1.4 de este informe. </w:t>
      </w:r>
    </w:p>
    <w:p w:rsidR="0076001D" w:rsidRDefault="0034129A">
      <w:pPr>
        <w:spacing w:after="0" w:line="259" w:lineRule="auto"/>
        <w:ind w:left="0" w:right="8954" w:firstLine="0"/>
        <w:jc w:val="left"/>
      </w:pPr>
      <w:r>
        <w:rPr>
          <w:sz w:val="35"/>
        </w:rPr>
        <w:t xml:space="preserve"> </w:t>
      </w:r>
    </w:p>
    <w:p w:rsidR="0076001D" w:rsidRDefault="0034129A">
      <w:pPr>
        <w:ind w:left="604" w:right="177" w:hanging="59"/>
      </w:pPr>
      <w:r>
        <w:rPr>
          <w:noProof/>
          <w:lang w:val="es-ES" w:eastAsia="es-ES"/>
        </w:rPr>
        <w:drawing>
          <wp:inline distT="0" distB="0" distL="0" distR="0">
            <wp:extent cx="227546" cy="136525"/>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8"/>
                    <a:stretch>
                      <a:fillRect/>
                    </a:stretch>
                  </pic:blipFill>
                  <pic:spPr>
                    <a:xfrm>
                      <a:off x="0" y="0"/>
                      <a:ext cx="227546" cy="136525"/>
                    </a:xfrm>
                    <a:prstGeom prst="rect">
                      <a:avLst/>
                    </a:prstGeom>
                  </pic:spPr>
                </pic:pic>
              </a:graphicData>
            </a:graphic>
          </wp:inline>
        </w:drawing>
      </w:r>
      <w:r>
        <w:t xml:space="preserve"> De igual manera, el seguimiento PEDI, reporta que de acuerdo al decreto 612 de 2018, en el primer trimestre se formularon y aprobaron en el Comité Institucional de Gestión y Desempeño los 12 planes institucionales, de los que hacen parte integral los planes: </w:t>
      </w:r>
      <w:r>
        <w:rPr>
          <w:i/>
        </w:rPr>
        <w:t xml:space="preserve">10. Plan </w:t>
      </w:r>
    </w:p>
    <w:p w:rsidR="0076001D" w:rsidRDefault="0034129A">
      <w:pPr>
        <w:ind w:left="545" w:right="177" w:firstLine="0"/>
      </w:pPr>
      <w:r>
        <w:rPr>
          <w:i/>
        </w:rPr>
        <w:t>Estratégico de Tecnologías de la Información y las Comunicaciones • PETI, 11. Plan de Tratamiento de Riesgos de Seguridad y Privacidad de la Información y 12. Plan de Seguridad y Privacidad de la Información</w:t>
      </w:r>
      <w:r>
        <w:t xml:space="preserve">, sin embargo el proceso de Gestión TIC no ha adelantado la identificación, ni incluido en los planes la correlación que se espera entre los Planes institucionales .Para facilitar esta articulación, el MINTIC emitió en julio de 2019 nuevas directrices en la </w:t>
      </w:r>
      <w:r>
        <w:rPr>
          <w:i/>
        </w:rPr>
        <w:t>G.ES.06 Guía para la construcción del PETI versión 2</w:t>
      </w:r>
      <w:r>
        <w:t xml:space="preserve">, que incorpora una metodología y se actualiza el contenido para la construcción del PETI con un enfoque de Arquitectura en la planeación de la Tecnología para la Transformación Digital. Es importante anotar que las 4 fases involucran a todas las áreas de la entidad como parte de la articulación del PETI. El siguiente es un ejemplo de correlación: </w:t>
      </w:r>
    </w:p>
    <w:p w:rsidR="0076001D" w:rsidRDefault="0034129A">
      <w:pPr>
        <w:spacing w:after="0" w:line="259" w:lineRule="auto"/>
        <w:ind w:left="0" w:firstLine="0"/>
        <w:jc w:val="left"/>
      </w:pPr>
      <w:r>
        <w:t xml:space="preserve"> </w:t>
      </w:r>
    </w:p>
    <w:p w:rsidR="0076001D" w:rsidRDefault="0034129A">
      <w:pPr>
        <w:tabs>
          <w:tab w:val="center" w:pos="3205"/>
          <w:tab w:val="center" w:pos="6214"/>
          <w:tab w:val="center" w:pos="8408"/>
        </w:tabs>
        <w:spacing w:after="35" w:line="265" w:lineRule="auto"/>
        <w:ind w:left="0" w:firstLine="0"/>
        <w:jc w:val="left"/>
      </w:pPr>
      <w:r>
        <w:rPr>
          <w:rFonts w:ascii="Calibri" w:eastAsia="Calibri" w:hAnsi="Calibri" w:cs="Calibri"/>
        </w:rPr>
        <w:tab/>
      </w:r>
      <w:r>
        <w:rPr>
          <w:rFonts w:ascii="Calibri" w:eastAsia="Calibri" w:hAnsi="Calibri" w:cs="Calibri"/>
          <w:b/>
          <w:sz w:val="18"/>
        </w:rPr>
        <w:t xml:space="preserve">Planes OTIC 7. Plan Estratégico de </w:t>
      </w:r>
      <w:r>
        <w:rPr>
          <w:rFonts w:ascii="Calibri" w:eastAsia="Calibri" w:hAnsi="Calibri" w:cs="Calibri"/>
          <w:b/>
          <w:sz w:val="18"/>
        </w:rPr>
        <w:tab/>
        <w:t xml:space="preserve">8. Plan de Tratamiento de </w:t>
      </w:r>
      <w:r>
        <w:rPr>
          <w:rFonts w:ascii="Calibri" w:eastAsia="Calibri" w:hAnsi="Calibri" w:cs="Calibri"/>
          <w:b/>
          <w:sz w:val="18"/>
        </w:rPr>
        <w:tab/>
        <w:t xml:space="preserve">9. Plan de Seguridad y </w:t>
      </w:r>
    </w:p>
    <w:p w:rsidR="0076001D" w:rsidRDefault="0034129A">
      <w:pPr>
        <w:tabs>
          <w:tab w:val="center" w:pos="197"/>
          <w:tab w:val="center" w:pos="3556"/>
          <w:tab w:val="center" w:pos="6101"/>
          <w:tab w:val="right" w:pos="9814"/>
        </w:tabs>
        <w:spacing w:after="76" w:line="265" w:lineRule="auto"/>
        <w:ind w:left="0" w:firstLine="0"/>
        <w:jc w:val="left"/>
      </w:pPr>
      <w:r>
        <w:rPr>
          <w:rFonts w:ascii="Calibri" w:eastAsia="Calibri" w:hAnsi="Calibri" w:cs="Calibri"/>
        </w:rPr>
        <w:tab/>
      </w:r>
      <w:r>
        <w:rPr>
          <w:sz w:val="18"/>
        </w:rPr>
        <w:t xml:space="preserve"> </w:t>
      </w:r>
      <w:r>
        <w:rPr>
          <w:sz w:val="18"/>
        </w:rPr>
        <w:tab/>
      </w:r>
      <w:r>
        <w:rPr>
          <w:rFonts w:ascii="Calibri" w:eastAsia="Calibri" w:hAnsi="Calibri" w:cs="Calibri"/>
          <w:b/>
          <w:sz w:val="18"/>
        </w:rPr>
        <w:t xml:space="preserve">Tecnologías de la </w:t>
      </w:r>
      <w:r>
        <w:rPr>
          <w:rFonts w:ascii="Calibri" w:eastAsia="Calibri" w:hAnsi="Calibri" w:cs="Calibri"/>
          <w:b/>
          <w:sz w:val="18"/>
        </w:rPr>
        <w:tab/>
        <w:t xml:space="preserve">Riesgos de Seguridad y </w:t>
      </w:r>
      <w:r>
        <w:rPr>
          <w:rFonts w:ascii="Calibri" w:eastAsia="Calibri" w:hAnsi="Calibri" w:cs="Calibri"/>
          <w:b/>
          <w:sz w:val="18"/>
        </w:rPr>
        <w:tab/>
        <w:t xml:space="preserve">Privacidad de la Información. </w:t>
      </w:r>
    </w:p>
    <w:p w:rsidR="0076001D" w:rsidRDefault="0034129A">
      <w:pPr>
        <w:tabs>
          <w:tab w:val="center" w:pos="197"/>
          <w:tab w:val="center" w:pos="3556"/>
          <w:tab w:val="center" w:pos="6339"/>
        </w:tabs>
        <w:spacing w:after="0" w:line="265" w:lineRule="auto"/>
        <w:ind w:left="0" w:firstLine="0"/>
        <w:jc w:val="left"/>
      </w:pPr>
      <w:r>
        <w:rPr>
          <w:rFonts w:ascii="Calibri" w:eastAsia="Calibri" w:hAnsi="Calibri" w:cs="Calibri"/>
        </w:rPr>
        <w:tab/>
      </w:r>
      <w:r>
        <w:rPr>
          <w:sz w:val="24"/>
        </w:rPr>
        <w:t xml:space="preserve"> </w:t>
      </w:r>
      <w:r>
        <w:rPr>
          <w:sz w:val="24"/>
        </w:rPr>
        <w:tab/>
      </w:r>
      <w:r>
        <w:rPr>
          <w:rFonts w:ascii="Calibri" w:eastAsia="Calibri" w:hAnsi="Calibri" w:cs="Calibri"/>
          <w:b/>
          <w:sz w:val="18"/>
        </w:rPr>
        <w:t xml:space="preserve">Información y las </w:t>
      </w:r>
      <w:r>
        <w:rPr>
          <w:rFonts w:ascii="Calibri" w:eastAsia="Calibri" w:hAnsi="Calibri" w:cs="Calibri"/>
          <w:b/>
          <w:sz w:val="18"/>
        </w:rPr>
        <w:tab/>
        <w:t xml:space="preserve">Privacidad de la Información. </w:t>
      </w:r>
    </w:p>
    <w:p w:rsidR="0076001D" w:rsidRDefault="0034129A">
      <w:pPr>
        <w:tabs>
          <w:tab w:val="center" w:pos="1246"/>
          <w:tab w:val="center" w:pos="3794"/>
        </w:tabs>
        <w:spacing w:after="36" w:line="265" w:lineRule="auto"/>
        <w:ind w:left="0" w:firstLine="0"/>
        <w:jc w:val="left"/>
      </w:pPr>
      <w:r>
        <w:rPr>
          <w:rFonts w:ascii="Calibri" w:eastAsia="Calibri" w:hAnsi="Calibri" w:cs="Calibri"/>
        </w:rPr>
        <w:tab/>
      </w:r>
      <w:r>
        <w:rPr>
          <w:rFonts w:ascii="Calibri" w:eastAsia="Calibri" w:hAnsi="Calibri" w:cs="Calibri"/>
          <w:b/>
          <w:sz w:val="18"/>
        </w:rPr>
        <w:t xml:space="preserve">Otros Planes de la Entidad </w:t>
      </w:r>
      <w:r>
        <w:rPr>
          <w:rFonts w:ascii="Calibri" w:eastAsia="Calibri" w:hAnsi="Calibri" w:cs="Calibri"/>
          <w:b/>
          <w:sz w:val="18"/>
        </w:rPr>
        <w:tab/>
        <w:t xml:space="preserve">Comunicaciones – PETI. </w:t>
      </w:r>
    </w:p>
    <w:p w:rsidR="0076001D" w:rsidRDefault="0034129A">
      <w:pPr>
        <w:tabs>
          <w:tab w:val="center" w:pos="197"/>
          <w:tab w:val="center" w:pos="2847"/>
          <w:tab w:val="center" w:pos="6024"/>
        </w:tabs>
        <w:spacing w:after="57" w:line="263" w:lineRule="auto"/>
        <w:ind w:left="0" w:firstLine="0"/>
        <w:jc w:val="left"/>
      </w:pPr>
      <w:r>
        <w:rPr>
          <w:rFonts w:ascii="Calibri" w:eastAsia="Calibri" w:hAnsi="Calibri" w:cs="Calibri"/>
        </w:rPr>
        <w:tab/>
      </w:r>
      <w:r>
        <w:rPr>
          <w:sz w:val="18"/>
        </w:rPr>
        <w:t xml:space="preserve"> </w:t>
      </w:r>
      <w:r>
        <w:rPr>
          <w:sz w:val="18"/>
        </w:rPr>
        <w:tab/>
        <w:t xml:space="preserve"> </w:t>
      </w:r>
      <w:r>
        <w:rPr>
          <w:sz w:val="18"/>
        </w:rPr>
        <w:tab/>
      </w:r>
      <w:r>
        <w:rPr>
          <w:rFonts w:ascii="Calibri" w:eastAsia="Calibri" w:hAnsi="Calibri" w:cs="Calibri"/>
          <w:sz w:val="18"/>
        </w:rPr>
        <w:t xml:space="preserve">Riesgos de activos de </w:t>
      </w:r>
    </w:p>
    <w:p w:rsidR="0076001D" w:rsidRDefault="0034129A">
      <w:pPr>
        <w:tabs>
          <w:tab w:val="center" w:pos="197"/>
          <w:tab w:val="center" w:pos="2847"/>
          <w:tab w:val="center" w:pos="6282"/>
          <w:tab w:val="center" w:pos="8387"/>
        </w:tabs>
        <w:spacing w:line="263" w:lineRule="auto"/>
        <w:ind w:left="0" w:firstLine="0"/>
        <w:jc w:val="left"/>
      </w:pPr>
      <w:r>
        <w:rPr>
          <w:rFonts w:ascii="Calibri" w:eastAsia="Calibri" w:hAnsi="Calibri" w:cs="Calibri"/>
        </w:rPr>
        <w:tab/>
      </w:r>
      <w:r>
        <w:t xml:space="preserve"> </w:t>
      </w:r>
      <w:r>
        <w:tab/>
        <w:t xml:space="preserve"> </w:t>
      </w:r>
      <w:r>
        <w:tab/>
      </w:r>
      <w:proofErr w:type="gramStart"/>
      <w:r>
        <w:rPr>
          <w:rFonts w:ascii="Calibri" w:eastAsia="Calibri" w:hAnsi="Calibri" w:cs="Calibri"/>
          <w:sz w:val="18"/>
        </w:rPr>
        <w:t>información</w:t>
      </w:r>
      <w:proofErr w:type="gramEnd"/>
      <w:r>
        <w:rPr>
          <w:rFonts w:ascii="Calibri" w:eastAsia="Calibri" w:hAnsi="Calibri" w:cs="Calibri"/>
          <w:sz w:val="18"/>
        </w:rPr>
        <w:t xml:space="preserve"> tipo "personas" </w:t>
      </w:r>
      <w:r>
        <w:rPr>
          <w:rFonts w:ascii="Calibri" w:eastAsia="Calibri" w:hAnsi="Calibri" w:cs="Calibri"/>
          <w:sz w:val="18"/>
        </w:rPr>
        <w:tab/>
        <w:t xml:space="preserve">Dominio A6. Aspectos </w:t>
      </w:r>
    </w:p>
    <w:p w:rsidR="0076001D" w:rsidRDefault="0034129A">
      <w:pPr>
        <w:spacing w:after="0" w:line="259" w:lineRule="auto"/>
        <w:ind w:left="10" w:right="13" w:hanging="10"/>
        <w:jc w:val="right"/>
      </w:pPr>
      <w:r>
        <w:rPr>
          <w:rFonts w:ascii="Calibri" w:eastAsia="Calibri" w:hAnsi="Calibri" w:cs="Calibri"/>
          <w:sz w:val="18"/>
        </w:rPr>
        <w:t xml:space="preserve">Organizativos de seguridad de </w:t>
      </w:r>
    </w:p>
    <w:p w:rsidR="0076001D" w:rsidRDefault="0034129A">
      <w:pPr>
        <w:tabs>
          <w:tab w:val="center" w:pos="1282"/>
          <w:tab w:val="center" w:pos="3561"/>
          <w:tab w:val="center" w:pos="6090"/>
        </w:tabs>
        <w:spacing w:line="263" w:lineRule="auto"/>
        <w:ind w:left="0" w:firstLine="0"/>
        <w:jc w:val="left"/>
      </w:pPr>
      <w:r>
        <w:rPr>
          <w:rFonts w:ascii="Calibri" w:eastAsia="Calibri" w:hAnsi="Calibri" w:cs="Calibri"/>
        </w:rPr>
        <w:tab/>
      </w:r>
      <w:r>
        <w:rPr>
          <w:rFonts w:ascii="Calibri" w:eastAsia="Calibri" w:hAnsi="Calibri" w:cs="Calibri"/>
          <w:b/>
          <w:sz w:val="18"/>
        </w:rPr>
        <w:t xml:space="preserve">Plan Estratégico de Talento </w:t>
      </w:r>
      <w:r>
        <w:rPr>
          <w:rFonts w:ascii="Calibri" w:eastAsia="Calibri" w:hAnsi="Calibri" w:cs="Calibri"/>
          <w:b/>
          <w:sz w:val="18"/>
        </w:rPr>
        <w:tab/>
      </w:r>
      <w:r>
        <w:rPr>
          <w:rFonts w:ascii="Calibri" w:eastAsia="Calibri" w:hAnsi="Calibri" w:cs="Calibri"/>
          <w:sz w:val="18"/>
        </w:rPr>
        <w:t xml:space="preserve">Dominio de Uso y </w:t>
      </w:r>
      <w:r>
        <w:rPr>
          <w:rFonts w:ascii="Calibri" w:eastAsia="Calibri" w:hAnsi="Calibri" w:cs="Calibri"/>
          <w:sz w:val="18"/>
        </w:rPr>
        <w:tab/>
        <w:t xml:space="preserve">que son críticos para la </w:t>
      </w:r>
    </w:p>
    <w:p w:rsidR="0076001D" w:rsidRDefault="0034129A">
      <w:pPr>
        <w:spacing w:after="0" w:line="259" w:lineRule="auto"/>
        <w:ind w:left="10" w:right="1130" w:hanging="10"/>
        <w:jc w:val="right"/>
      </w:pPr>
      <w:proofErr w:type="gramStart"/>
      <w:r>
        <w:rPr>
          <w:rFonts w:ascii="Calibri" w:eastAsia="Calibri" w:hAnsi="Calibri" w:cs="Calibri"/>
          <w:sz w:val="18"/>
        </w:rPr>
        <w:t>la</w:t>
      </w:r>
      <w:proofErr w:type="gramEnd"/>
      <w:r>
        <w:rPr>
          <w:rFonts w:ascii="Calibri" w:eastAsia="Calibri" w:hAnsi="Calibri" w:cs="Calibri"/>
          <w:sz w:val="18"/>
        </w:rPr>
        <w:t xml:space="preserve"> información. </w:t>
      </w:r>
    </w:p>
    <w:p w:rsidR="0076001D" w:rsidRDefault="0034129A">
      <w:pPr>
        <w:tabs>
          <w:tab w:val="center" w:pos="609"/>
          <w:tab w:val="center" w:pos="3359"/>
          <w:tab w:val="center" w:pos="5940"/>
        </w:tabs>
        <w:spacing w:line="263" w:lineRule="auto"/>
        <w:ind w:left="0" w:firstLine="0"/>
        <w:jc w:val="left"/>
      </w:pPr>
      <w:r>
        <w:rPr>
          <w:rFonts w:ascii="Calibri" w:eastAsia="Calibri" w:hAnsi="Calibri" w:cs="Calibri"/>
        </w:rPr>
        <w:tab/>
      </w:r>
      <w:r>
        <w:rPr>
          <w:rFonts w:ascii="Calibri" w:eastAsia="Calibri" w:hAnsi="Calibri" w:cs="Calibri"/>
          <w:b/>
          <w:sz w:val="18"/>
        </w:rPr>
        <w:t xml:space="preserve">Humano. </w:t>
      </w:r>
      <w:r>
        <w:rPr>
          <w:rFonts w:ascii="Calibri" w:eastAsia="Calibri" w:hAnsi="Calibri" w:cs="Calibri"/>
          <w:b/>
          <w:sz w:val="18"/>
        </w:rPr>
        <w:tab/>
      </w:r>
      <w:r>
        <w:rPr>
          <w:rFonts w:ascii="Calibri" w:eastAsia="Calibri" w:hAnsi="Calibri" w:cs="Calibri"/>
          <w:sz w:val="18"/>
        </w:rPr>
        <w:t xml:space="preserve">Apropiación </w:t>
      </w:r>
      <w:r>
        <w:rPr>
          <w:rFonts w:ascii="Calibri" w:eastAsia="Calibri" w:hAnsi="Calibri" w:cs="Calibri"/>
          <w:sz w:val="18"/>
        </w:rPr>
        <w:tab/>
        <w:t xml:space="preserve">operación o tienen </w:t>
      </w:r>
    </w:p>
    <w:p w:rsidR="0076001D" w:rsidRDefault="0034129A">
      <w:pPr>
        <w:spacing w:after="0" w:line="259" w:lineRule="auto"/>
        <w:ind w:left="10" w:right="13" w:hanging="10"/>
        <w:jc w:val="right"/>
      </w:pPr>
      <w:r>
        <w:rPr>
          <w:rFonts w:ascii="Calibri" w:eastAsia="Calibri" w:hAnsi="Calibri" w:cs="Calibri"/>
          <w:sz w:val="18"/>
        </w:rPr>
        <w:t xml:space="preserve">Dominio A7 Seguridad ligada a </w:t>
      </w:r>
    </w:p>
    <w:p w:rsidR="0076001D" w:rsidRDefault="0034129A">
      <w:pPr>
        <w:spacing w:after="50" w:line="263" w:lineRule="auto"/>
        <w:ind w:left="5260" w:right="625" w:hanging="10"/>
        <w:jc w:val="left"/>
      </w:pPr>
      <w:proofErr w:type="gramStart"/>
      <w:r>
        <w:rPr>
          <w:rFonts w:ascii="Calibri" w:eastAsia="Calibri" w:hAnsi="Calibri" w:cs="Calibri"/>
          <w:sz w:val="18"/>
        </w:rPr>
        <w:t>conocimiento</w:t>
      </w:r>
      <w:proofErr w:type="gramEnd"/>
      <w:r>
        <w:rPr>
          <w:rFonts w:ascii="Calibri" w:eastAsia="Calibri" w:hAnsi="Calibri" w:cs="Calibri"/>
          <w:sz w:val="18"/>
        </w:rPr>
        <w:t xml:space="preserve"> </w:t>
      </w:r>
      <w:proofErr w:type="spellStart"/>
      <w:r>
        <w:rPr>
          <w:rFonts w:ascii="Calibri" w:eastAsia="Calibri" w:hAnsi="Calibri" w:cs="Calibri"/>
          <w:sz w:val="18"/>
        </w:rPr>
        <w:t>especifico</w:t>
      </w:r>
      <w:proofErr w:type="spellEnd"/>
      <w:r>
        <w:rPr>
          <w:rFonts w:ascii="Calibri" w:eastAsia="Calibri" w:hAnsi="Calibri" w:cs="Calibri"/>
          <w:sz w:val="18"/>
        </w:rPr>
        <w:t xml:space="preserve"> no los recursos Humanos trasferido. </w:t>
      </w:r>
    </w:p>
    <w:p w:rsidR="0076001D" w:rsidRDefault="0034129A">
      <w:pPr>
        <w:tabs>
          <w:tab w:val="center" w:pos="197"/>
          <w:tab w:val="center" w:pos="2847"/>
          <w:tab w:val="center" w:pos="6334"/>
          <w:tab w:val="center" w:pos="8367"/>
        </w:tabs>
        <w:spacing w:after="53" w:line="263" w:lineRule="auto"/>
        <w:ind w:left="0" w:firstLine="0"/>
        <w:jc w:val="left"/>
      </w:pPr>
      <w:r>
        <w:rPr>
          <w:rFonts w:ascii="Calibri" w:eastAsia="Calibri" w:hAnsi="Calibri" w:cs="Calibri"/>
        </w:rPr>
        <w:tab/>
      </w:r>
      <w:r>
        <w:rPr>
          <w:sz w:val="18"/>
        </w:rPr>
        <w:t xml:space="preserve"> </w:t>
      </w:r>
      <w:r>
        <w:rPr>
          <w:sz w:val="18"/>
        </w:rPr>
        <w:tab/>
      </w:r>
      <w:r>
        <w:rPr>
          <w:sz w:val="20"/>
        </w:rPr>
        <w:t xml:space="preserve"> </w:t>
      </w:r>
      <w:r>
        <w:rPr>
          <w:sz w:val="20"/>
        </w:rPr>
        <w:tab/>
      </w:r>
      <w:r>
        <w:rPr>
          <w:rFonts w:ascii="Calibri" w:eastAsia="Calibri" w:hAnsi="Calibri" w:cs="Calibri"/>
          <w:sz w:val="18"/>
        </w:rPr>
        <w:t xml:space="preserve">Trasferencia de conocimiento </w:t>
      </w:r>
      <w:r>
        <w:rPr>
          <w:rFonts w:ascii="Calibri" w:eastAsia="Calibri" w:hAnsi="Calibri" w:cs="Calibri"/>
          <w:sz w:val="18"/>
        </w:rPr>
        <w:tab/>
        <w:t xml:space="preserve">Clausula 7. SOPORTE. </w:t>
      </w:r>
    </w:p>
    <w:p w:rsidR="0076001D" w:rsidRDefault="0034129A">
      <w:pPr>
        <w:tabs>
          <w:tab w:val="center" w:pos="197"/>
          <w:tab w:val="center" w:pos="3561"/>
          <w:tab w:val="center" w:pos="6290"/>
          <w:tab w:val="center" w:pos="8069"/>
        </w:tabs>
        <w:spacing w:line="263" w:lineRule="auto"/>
        <w:ind w:left="0" w:firstLine="0"/>
        <w:jc w:val="left"/>
      </w:pPr>
      <w:r>
        <w:rPr>
          <w:rFonts w:ascii="Calibri" w:eastAsia="Calibri" w:hAnsi="Calibri" w:cs="Calibri"/>
        </w:rPr>
        <w:tab/>
      </w:r>
      <w:r>
        <w:t xml:space="preserve"> </w:t>
      </w:r>
      <w:r>
        <w:tab/>
      </w:r>
      <w:r>
        <w:rPr>
          <w:rFonts w:ascii="Calibri" w:eastAsia="Calibri" w:hAnsi="Calibri" w:cs="Calibri"/>
          <w:sz w:val="18"/>
        </w:rPr>
        <w:t xml:space="preserve">Dominio de Uso y </w:t>
      </w:r>
      <w:r>
        <w:rPr>
          <w:rFonts w:ascii="Calibri" w:eastAsia="Calibri" w:hAnsi="Calibri" w:cs="Calibri"/>
          <w:sz w:val="18"/>
        </w:rPr>
        <w:tab/>
        <w:t xml:space="preserve">como tratamiento del riesgo </w:t>
      </w:r>
      <w:r>
        <w:rPr>
          <w:rFonts w:ascii="Calibri" w:eastAsia="Calibri" w:hAnsi="Calibri" w:cs="Calibri"/>
          <w:sz w:val="18"/>
        </w:rPr>
        <w:tab/>
        <w:t>7.1.</w:t>
      </w:r>
      <w:r>
        <w:rPr>
          <w:sz w:val="18"/>
        </w:rPr>
        <w:t xml:space="preserve"> </w:t>
      </w:r>
      <w:r>
        <w:rPr>
          <w:rFonts w:ascii="Calibri" w:eastAsia="Calibri" w:hAnsi="Calibri" w:cs="Calibri"/>
          <w:sz w:val="18"/>
        </w:rPr>
        <w:t xml:space="preserve">Recursos </w:t>
      </w:r>
    </w:p>
    <w:p w:rsidR="0076001D" w:rsidRDefault="0034129A">
      <w:pPr>
        <w:tabs>
          <w:tab w:val="center" w:pos="1063"/>
          <w:tab w:val="center" w:pos="3359"/>
          <w:tab w:val="center" w:pos="5946"/>
          <w:tab w:val="center" w:pos="8247"/>
        </w:tabs>
        <w:spacing w:line="263" w:lineRule="auto"/>
        <w:ind w:left="0" w:firstLine="0"/>
        <w:jc w:val="left"/>
      </w:pPr>
      <w:r>
        <w:rPr>
          <w:rFonts w:ascii="Calibri" w:eastAsia="Calibri" w:hAnsi="Calibri" w:cs="Calibri"/>
        </w:rPr>
        <w:tab/>
      </w:r>
      <w:r>
        <w:rPr>
          <w:rFonts w:ascii="Calibri" w:eastAsia="Calibri" w:hAnsi="Calibri" w:cs="Calibri"/>
          <w:b/>
          <w:sz w:val="18"/>
        </w:rPr>
        <w:t xml:space="preserve">Plan de Capacitación. </w:t>
      </w:r>
      <w:r>
        <w:rPr>
          <w:rFonts w:ascii="Calibri" w:eastAsia="Calibri" w:hAnsi="Calibri" w:cs="Calibri"/>
          <w:b/>
          <w:sz w:val="18"/>
        </w:rPr>
        <w:tab/>
      </w:r>
      <w:r>
        <w:rPr>
          <w:rFonts w:ascii="Calibri" w:eastAsia="Calibri" w:hAnsi="Calibri" w:cs="Calibri"/>
          <w:sz w:val="18"/>
        </w:rPr>
        <w:t xml:space="preserve">Apropiación </w:t>
      </w:r>
      <w:r>
        <w:rPr>
          <w:rFonts w:ascii="Calibri" w:eastAsia="Calibri" w:hAnsi="Calibri" w:cs="Calibri"/>
          <w:sz w:val="18"/>
        </w:rPr>
        <w:tab/>
        <w:t xml:space="preserve">de dependencia de </w:t>
      </w:r>
      <w:r>
        <w:rPr>
          <w:rFonts w:ascii="Calibri" w:eastAsia="Calibri" w:hAnsi="Calibri" w:cs="Calibri"/>
          <w:sz w:val="18"/>
        </w:rPr>
        <w:tab/>
        <w:t>7.2.</w:t>
      </w:r>
      <w:r>
        <w:rPr>
          <w:sz w:val="18"/>
        </w:rPr>
        <w:t xml:space="preserve"> </w:t>
      </w:r>
      <w:r>
        <w:rPr>
          <w:rFonts w:ascii="Calibri" w:eastAsia="Calibri" w:hAnsi="Calibri" w:cs="Calibri"/>
          <w:sz w:val="18"/>
        </w:rPr>
        <w:t xml:space="preserve">Competencia. </w:t>
      </w:r>
    </w:p>
    <w:p w:rsidR="0076001D" w:rsidRDefault="0034129A">
      <w:pPr>
        <w:spacing w:line="263" w:lineRule="auto"/>
        <w:ind w:left="5250" w:hanging="2333"/>
        <w:jc w:val="left"/>
      </w:pPr>
      <w:r>
        <w:rPr>
          <w:rFonts w:ascii="Calibri" w:eastAsia="Calibri" w:hAnsi="Calibri" w:cs="Calibri"/>
          <w:noProof/>
          <w:lang w:val="es-ES" w:eastAsia="es-ES"/>
        </w:rPr>
        <mc:AlternateContent>
          <mc:Choice Requires="wpg">
            <w:drawing>
              <wp:anchor distT="0" distB="0" distL="114300" distR="114300" simplePos="0" relativeHeight="251659264" behindDoc="1" locked="0" layoutInCell="1" allowOverlap="1">
                <wp:simplePos x="0" y="0"/>
                <wp:positionH relativeFrom="column">
                  <wp:posOffset>119177</wp:posOffset>
                </wp:positionH>
                <wp:positionV relativeFrom="paragraph">
                  <wp:posOffset>-1977530</wp:posOffset>
                </wp:positionV>
                <wp:extent cx="6205169" cy="2258899"/>
                <wp:effectExtent l="0" t="0" r="0" b="0"/>
                <wp:wrapNone/>
                <wp:docPr id="157317" name="Group 157317"/>
                <wp:cNvGraphicFramePr/>
                <a:graphic xmlns:a="http://schemas.openxmlformats.org/drawingml/2006/main">
                  <a:graphicData uri="http://schemas.microsoft.com/office/word/2010/wordprocessingGroup">
                    <wpg:wgp>
                      <wpg:cNvGrpSpPr/>
                      <wpg:grpSpPr>
                        <a:xfrm>
                          <a:off x="0" y="0"/>
                          <a:ext cx="6205169" cy="2258899"/>
                          <a:chOff x="0" y="0"/>
                          <a:chExt cx="6205169" cy="2258899"/>
                        </a:xfrm>
                      </wpg:grpSpPr>
                      <wps:wsp>
                        <wps:cNvPr id="1035" name="Shape 1035"/>
                        <wps:cNvSpPr/>
                        <wps:spPr>
                          <a:xfrm>
                            <a:off x="203" y="4699"/>
                            <a:ext cx="1675130" cy="596266"/>
                          </a:xfrm>
                          <a:custGeom>
                            <a:avLst/>
                            <a:gdLst/>
                            <a:ahLst/>
                            <a:cxnLst/>
                            <a:rect l="0" t="0" r="0" b="0"/>
                            <a:pathLst>
                              <a:path w="1675130" h="596266">
                                <a:moveTo>
                                  <a:pt x="0" y="0"/>
                                </a:moveTo>
                                <a:lnTo>
                                  <a:pt x="1675130" y="596266"/>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208527" name="Shape 208527"/>
                        <wps:cNvSpPr/>
                        <wps:spPr>
                          <a:xfrm>
                            <a:off x="6096" y="6097"/>
                            <a:ext cx="1676654" cy="595884"/>
                          </a:xfrm>
                          <a:custGeom>
                            <a:avLst/>
                            <a:gdLst/>
                            <a:ahLst/>
                            <a:cxnLst/>
                            <a:rect l="0" t="0" r="0" b="0"/>
                            <a:pathLst>
                              <a:path w="1676654" h="595884">
                                <a:moveTo>
                                  <a:pt x="0" y="0"/>
                                </a:moveTo>
                                <a:lnTo>
                                  <a:pt x="1676654" y="0"/>
                                </a:lnTo>
                                <a:lnTo>
                                  <a:pt x="1676654" y="595884"/>
                                </a:lnTo>
                                <a:lnTo>
                                  <a:pt x="0" y="59588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208528" name="Shape 208528"/>
                        <wps:cNvSpPr/>
                        <wps:spPr>
                          <a:xfrm>
                            <a:off x="6096" y="6097"/>
                            <a:ext cx="1676654" cy="140208"/>
                          </a:xfrm>
                          <a:custGeom>
                            <a:avLst/>
                            <a:gdLst/>
                            <a:ahLst/>
                            <a:cxnLst/>
                            <a:rect l="0" t="0" r="0" b="0"/>
                            <a:pathLst>
                              <a:path w="1676654" h="140208">
                                <a:moveTo>
                                  <a:pt x="0" y="0"/>
                                </a:moveTo>
                                <a:lnTo>
                                  <a:pt x="1676654" y="0"/>
                                </a:lnTo>
                                <a:lnTo>
                                  <a:pt x="1676654" y="140208"/>
                                </a:lnTo>
                                <a:lnTo>
                                  <a:pt x="0" y="140208"/>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208529" name="Shape 208529"/>
                        <wps:cNvSpPr/>
                        <wps:spPr>
                          <a:xfrm>
                            <a:off x="6096" y="146304"/>
                            <a:ext cx="1676654" cy="131064"/>
                          </a:xfrm>
                          <a:custGeom>
                            <a:avLst/>
                            <a:gdLst/>
                            <a:ahLst/>
                            <a:cxnLst/>
                            <a:rect l="0" t="0" r="0" b="0"/>
                            <a:pathLst>
                              <a:path w="1676654" h="131064">
                                <a:moveTo>
                                  <a:pt x="0" y="0"/>
                                </a:moveTo>
                                <a:lnTo>
                                  <a:pt x="1676654" y="0"/>
                                </a:lnTo>
                                <a:lnTo>
                                  <a:pt x="1676654" y="131064"/>
                                </a:lnTo>
                                <a:lnTo>
                                  <a:pt x="0" y="131064"/>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208530" name="Shape 208530"/>
                        <wps:cNvSpPr/>
                        <wps:spPr>
                          <a:xfrm>
                            <a:off x="6096" y="277368"/>
                            <a:ext cx="1676654" cy="175260"/>
                          </a:xfrm>
                          <a:custGeom>
                            <a:avLst/>
                            <a:gdLst/>
                            <a:ahLst/>
                            <a:cxnLst/>
                            <a:rect l="0" t="0" r="0" b="0"/>
                            <a:pathLst>
                              <a:path w="1676654" h="175260">
                                <a:moveTo>
                                  <a:pt x="0" y="0"/>
                                </a:moveTo>
                                <a:lnTo>
                                  <a:pt x="1676654" y="0"/>
                                </a:lnTo>
                                <a:lnTo>
                                  <a:pt x="1676654" y="175260"/>
                                </a:lnTo>
                                <a:lnTo>
                                  <a:pt x="0" y="175260"/>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208531" name="Shape 208531"/>
                        <wps:cNvSpPr/>
                        <wps:spPr>
                          <a:xfrm>
                            <a:off x="6096" y="452628"/>
                            <a:ext cx="1676654" cy="135637"/>
                          </a:xfrm>
                          <a:custGeom>
                            <a:avLst/>
                            <a:gdLst/>
                            <a:ahLst/>
                            <a:cxnLst/>
                            <a:rect l="0" t="0" r="0" b="0"/>
                            <a:pathLst>
                              <a:path w="1676654" h="135637">
                                <a:moveTo>
                                  <a:pt x="0" y="0"/>
                                </a:moveTo>
                                <a:lnTo>
                                  <a:pt x="1676654" y="0"/>
                                </a:lnTo>
                                <a:lnTo>
                                  <a:pt x="1676654" y="135637"/>
                                </a:lnTo>
                                <a:lnTo>
                                  <a:pt x="0" y="135637"/>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208532" name="Shape 2085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33" name="Shape 208533"/>
                        <wps:cNvSpPr/>
                        <wps:spPr>
                          <a:xfrm>
                            <a:off x="6096" y="0"/>
                            <a:ext cx="1676654" cy="9144"/>
                          </a:xfrm>
                          <a:custGeom>
                            <a:avLst/>
                            <a:gdLst/>
                            <a:ahLst/>
                            <a:cxnLst/>
                            <a:rect l="0" t="0" r="0" b="0"/>
                            <a:pathLst>
                              <a:path w="1676654" h="9144">
                                <a:moveTo>
                                  <a:pt x="0" y="0"/>
                                </a:moveTo>
                                <a:lnTo>
                                  <a:pt x="1676654" y="0"/>
                                </a:lnTo>
                                <a:lnTo>
                                  <a:pt x="167665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34" name="Shape 208534"/>
                        <wps:cNvSpPr/>
                        <wps:spPr>
                          <a:xfrm>
                            <a:off x="16828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35" name="Shape 208535"/>
                        <wps:cNvSpPr/>
                        <wps:spPr>
                          <a:xfrm>
                            <a:off x="1688922" y="0"/>
                            <a:ext cx="1476756" cy="9144"/>
                          </a:xfrm>
                          <a:custGeom>
                            <a:avLst/>
                            <a:gdLst/>
                            <a:ahLst/>
                            <a:cxnLst/>
                            <a:rect l="0" t="0" r="0" b="0"/>
                            <a:pathLst>
                              <a:path w="1476756" h="9144">
                                <a:moveTo>
                                  <a:pt x="0" y="0"/>
                                </a:moveTo>
                                <a:lnTo>
                                  <a:pt x="1476756" y="0"/>
                                </a:lnTo>
                                <a:lnTo>
                                  <a:pt x="14767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36" name="Shape 208536"/>
                        <wps:cNvSpPr/>
                        <wps:spPr>
                          <a:xfrm>
                            <a:off x="31656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37" name="Shape 208537"/>
                        <wps:cNvSpPr/>
                        <wps:spPr>
                          <a:xfrm>
                            <a:off x="3171774" y="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38" name="Shape 208538"/>
                        <wps:cNvSpPr/>
                        <wps:spPr>
                          <a:xfrm>
                            <a:off x="46472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39" name="Shape 208539"/>
                        <wps:cNvSpPr/>
                        <wps:spPr>
                          <a:xfrm>
                            <a:off x="4653357" y="0"/>
                            <a:ext cx="1545590" cy="9144"/>
                          </a:xfrm>
                          <a:custGeom>
                            <a:avLst/>
                            <a:gdLst/>
                            <a:ahLst/>
                            <a:cxnLst/>
                            <a:rect l="0" t="0" r="0" b="0"/>
                            <a:pathLst>
                              <a:path w="1545590" h="9144">
                                <a:moveTo>
                                  <a:pt x="0" y="0"/>
                                </a:moveTo>
                                <a:lnTo>
                                  <a:pt x="1545590" y="0"/>
                                </a:lnTo>
                                <a:lnTo>
                                  <a:pt x="15455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0" name="Shape 208540"/>
                        <wps:cNvSpPr/>
                        <wps:spPr>
                          <a:xfrm>
                            <a:off x="61990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1" name="Shape 208541"/>
                        <wps:cNvSpPr/>
                        <wps:spPr>
                          <a:xfrm>
                            <a:off x="0" y="6097"/>
                            <a:ext cx="9144" cy="595884"/>
                          </a:xfrm>
                          <a:custGeom>
                            <a:avLst/>
                            <a:gdLst/>
                            <a:ahLst/>
                            <a:cxnLst/>
                            <a:rect l="0" t="0" r="0" b="0"/>
                            <a:pathLst>
                              <a:path w="9144" h="595884">
                                <a:moveTo>
                                  <a:pt x="0" y="0"/>
                                </a:moveTo>
                                <a:lnTo>
                                  <a:pt x="9144" y="0"/>
                                </a:lnTo>
                                <a:lnTo>
                                  <a:pt x="9144" y="595884"/>
                                </a:lnTo>
                                <a:lnTo>
                                  <a:pt x="0" y="5958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2" name="Shape 208542"/>
                        <wps:cNvSpPr/>
                        <wps:spPr>
                          <a:xfrm>
                            <a:off x="1682826" y="6097"/>
                            <a:ext cx="9144" cy="595884"/>
                          </a:xfrm>
                          <a:custGeom>
                            <a:avLst/>
                            <a:gdLst/>
                            <a:ahLst/>
                            <a:cxnLst/>
                            <a:rect l="0" t="0" r="0" b="0"/>
                            <a:pathLst>
                              <a:path w="9144" h="595884">
                                <a:moveTo>
                                  <a:pt x="0" y="0"/>
                                </a:moveTo>
                                <a:lnTo>
                                  <a:pt x="9144" y="0"/>
                                </a:lnTo>
                                <a:lnTo>
                                  <a:pt x="9144" y="595884"/>
                                </a:lnTo>
                                <a:lnTo>
                                  <a:pt x="0" y="5958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3" name="Shape 208543"/>
                        <wps:cNvSpPr/>
                        <wps:spPr>
                          <a:xfrm>
                            <a:off x="3165678" y="6097"/>
                            <a:ext cx="9144" cy="595884"/>
                          </a:xfrm>
                          <a:custGeom>
                            <a:avLst/>
                            <a:gdLst/>
                            <a:ahLst/>
                            <a:cxnLst/>
                            <a:rect l="0" t="0" r="0" b="0"/>
                            <a:pathLst>
                              <a:path w="9144" h="595884">
                                <a:moveTo>
                                  <a:pt x="0" y="0"/>
                                </a:moveTo>
                                <a:lnTo>
                                  <a:pt x="9144" y="0"/>
                                </a:lnTo>
                                <a:lnTo>
                                  <a:pt x="9144" y="595884"/>
                                </a:lnTo>
                                <a:lnTo>
                                  <a:pt x="0" y="5958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4" name="Shape 208544"/>
                        <wps:cNvSpPr/>
                        <wps:spPr>
                          <a:xfrm>
                            <a:off x="4647260" y="6097"/>
                            <a:ext cx="9144" cy="595884"/>
                          </a:xfrm>
                          <a:custGeom>
                            <a:avLst/>
                            <a:gdLst/>
                            <a:ahLst/>
                            <a:cxnLst/>
                            <a:rect l="0" t="0" r="0" b="0"/>
                            <a:pathLst>
                              <a:path w="9144" h="595884">
                                <a:moveTo>
                                  <a:pt x="0" y="0"/>
                                </a:moveTo>
                                <a:lnTo>
                                  <a:pt x="9144" y="0"/>
                                </a:lnTo>
                                <a:lnTo>
                                  <a:pt x="9144" y="595884"/>
                                </a:lnTo>
                                <a:lnTo>
                                  <a:pt x="0" y="5958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5" name="Shape 208545"/>
                        <wps:cNvSpPr/>
                        <wps:spPr>
                          <a:xfrm>
                            <a:off x="6199073" y="6097"/>
                            <a:ext cx="9144" cy="595884"/>
                          </a:xfrm>
                          <a:custGeom>
                            <a:avLst/>
                            <a:gdLst/>
                            <a:ahLst/>
                            <a:cxnLst/>
                            <a:rect l="0" t="0" r="0" b="0"/>
                            <a:pathLst>
                              <a:path w="9144" h="595884">
                                <a:moveTo>
                                  <a:pt x="0" y="0"/>
                                </a:moveTo>
                                <a:lnTo>
                                  <a:pt x="9144" y="0"/>
                                </a:lnTo>
                                <a:lnTo>
                                  <a:pt x="9144" y="595884"/>
                                </a:lnTo>
                                <a:lnTo>
                                  <a:pt x="0" y="5958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6" name="Shape 208546"/>
                        <wps:cNvSpPr/>
                        <wps:spPr>
                          <a:xfrm>
                            <a:off x="0" y="6019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7" name="Shape 208547"/>
                        <wps:cNvSpPr/>
                        <wps:spPr>
                          <a:xfrm>
                            <a:off x="6096" y="601980"/>
                            <a:ext cx="1676654" cy="9144"/>
                          </a:xfrm>
                          <a:custGeom>
                            <a:avLst/>
                            <a:gdLst/>
                            <a:ahLst/>
                            <a:cxnLst/>
                            <a:rect l="0" t="0" r="0" b="0"/>
                            <a:pathLst>
                              <a:path w="1676654" h="9144">
                                <a:moveTo>
                                  <a:pt x="0" y="0"/>
                                </a:moveTo>
                                <a:lnTo>
                                  <a:pt x="1676654" y="0"/>
                                </a:lnTo>
                                <a:lnTo>
                                  <a:pt x="167665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8" name="Shape 208548"/>
                        <wps:cNvSpPr/>
                        <wps:spPr>
                          <a:xfrm>
                            <a:off x="1682826" y="6019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49" name="Shape 208549"/>
                        <wps:cNvSpPr/>
                        <wps:spPr>
                          <a:xfrm>
                            <a:off x="1688922" y="601980"/>
                            <a:ext cx="1476756" cy="9144"/>
                          </a:xfrm>
                          <a:custGeom>
                            <a:avLst/>
                            <a:gdLst/>
                            <a:ahLst/>
                            <a:cxnLst/>
                            <a:rect l="0" t="0" r="0" b="0"/>
                            <a:pathLst>
                              <a:path w="1476756" h="9144">
                                <a:moveTo>
                                  <a:pt x="0" y="0"/>
                                </a:moveTo>
                                <a:lnTo>
                                  <a:pt x="1476756" y="0"/>
                                </a:lnTo>
                                <a:lnTo>
                                  <a:pt x="14767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0" name="Shape 208550"/>
                        <wps:cNvSpPr/>
                        <wps:spPr>
                          <a:xfrm>
                            <a:off x="3165678" y="6019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1" name="Shape 208551"/>
                        <wps:cNvSpPr/>
                        <wps:spPr>
                          <a:xfrm>
                            <a:off x="3171774" y="601980"/>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2" name="Shape 208552"/>
                        <wps:cNvSpPr/>
                        <wps:spPr>
                          <a:xfrm>
                            <a:off x="4647260" y="6019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3" name="Shape 208553"/>
                        <wps:cNvSpPr/>
                        <wps:spPr>
                          <a:xfrm>
                            <a:off x="4653357" y="601980"/>
                            <a:ext cx="1545590" cy="9144"/>
                          </a:xfrm>
                          <a:custGeom>
                            <a:avLst/>
                            <a:gdLst/>
                            <a:ahLst/>
                            <a:cxnLst/>
                            <a:rect l="0" t="0" r="0" b="0"/>
                            <a:pathLst>
                              <a:path w="1545590" h="9144">
                                <a:moveTo>
                                  <a:pt x="0" y="0"/>
                                </a:moveTo>
                                <a:lnTo>
                                  <a:pt x="1545590" y="0"/>
                                </a:lnTo>
                                <a:lnTo>
                                  <a:pt x="15455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4" name="Shape 208554"/>
                        <wps:cNvSpPr/>
                        <wps:spPr>
                          <a:xfrm>
                            <a:off x="6199073" y="60198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5" name="Shape 208555"/>
                        <wps:cNvSpPr/>
                        <wps:spPr>
                          <a:xfrm>
                            <a:off x="0" y="608153"/>
                            <a:ext cx="9144" cy="893369"/>
                          </a:xfrm>
                          <a:custGeom>
                            <a:avLst/>
                            <a:gdLst/>
                            <a:ahLst/>
                            <a:cxnLst/>
                            <a:rect l="0" t="0" r="0" b="0"/>
                            <a:pathLst>
                              <a:path w="9144" h="893369">
                                <a:moveTo>
                                  <a:pt x="0" y="0"/>
                                </a:moveTo>
                                <a:lnTo>
                                  <a:pt x="9144" y="0"/>
                                </a:lnTo>
                                <a:lnTo>
                                  <a:pt x="9144" y="893369"/>
                                </a:lnTo>
                                <a:lnTo>
                                  <a:pt x="0" y="89336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6" name="Shape 208556"/>
                        <wps:cNvSpPr/>
                        <wps:spPr>
                          <a:xfrm>
                            <a:off x="1682826" y="608153"/>
                            <a:ext cx="9144" cy="893369"/>
                          </a:xfrm>
                          <a:custGeom>
                            <a:avLst/>
                            <a:gdLst/>
                            <a:ahLst/>
                            <a:cxnLst/>
                            <a:rect l="0" t="0" r="0" b="0"/>
                            <a:pathLst>
                              <a:path w="9144" h="893369">
                                <a:moveTo>
                                  <a:pt x="0" y="0"/>
                                </a:moveTo>
                                <a:lnTo>
                                  <a:pt x="9144" y="0"/>
                                </a:lnTo>
                                <a:lnTo>
                                  <a:pt x="9144" y="893369"/>
                                </a:lnTo>
                                <a:lnTo>
                                  <a:pt x="0" y="89336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7" name="Shape 208557"/>
                        <wps:cNvSpPr/>
                        <wps:spPr>
                          <a:xfrm>
                            <a:off x="3165678" y="608153"/>
                            <a:ext cx="9144" cy="893369"/>
                          </a:xfrm>
                          <a:custGeom>
                            <a:avLst/>
                            <a:gdLst/>
                            <a:ahLst/>
                            <a:cxnLst/>
                            <a:rect l="0" t="0" r="0" b="0"/>
                            <a:pathLst>
                              <a:path w="9144" h="893369">
                                <a:moveTo>
                                  <a:pt x="0" y="0"/>
                                </a:moveTo>
                                <a:lnTo>
                                  <a:pt x="9144" y="0"/>
                                </a:lnTo>
                                <a:lnTo>
                                  <a:pt x="9144" y="893369"/>
                                </a:lnTo>
                                <a:lnTo>
                                  <a:pt x="0" y="89336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8" name="Shape 208558"/>
                        <wps:cNvSpPr/>
                        <wps:spPr>
                          <a:xfrm>
                            <a:off x="4647260" y="608153"/>
                            <a:ext cx="9144" cy="893369"/>
                          </a:xfrm>
                          <a:custGeom>
                            <a:avLst/>
                            <a:gdLst/>
                            <a:ahLst/>
                            <a:cxnLst/>
                            <a:rect l="0" t="0" r="0" b="0"/>
                            <a:pathLst>
                              <a:path w="9144" h="893369">
                                <a:moveTo>
                                  <a:pt x="0" y="0"/>
                                </a:moveTo>
                                <a:lnTo>
                                  <a:pt x="9144" y="0"/>
                                </a:lnTo>
                                <a:lnTo>
                                  <a:pt x="9144" y="893369"/>
                                </a:lnTo>
                                <a:lnTo>
                                  <a:pt x="0" y="89336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59" name="Shape 208559"/>
                        <wps:cNvSpPr/>
                        <wps:spPr>
                          <a:xfrm>
                            <a:off x="6199073" y="608153"/>
                            <a:ext cx="9144" cy="893369"/>
                          </a:xfrm>
                          <a:custGeom>
                            <a:avLst/>
                            <a:gdLst/>
                            <a:ahLst/>
                            <a:cxnLst/>
                            <a:rect l="0" t="0" r="0" b="0"/>
                            <a:pathLst>
                              <a:path w="9144" h="893369">
                                <a:moveTo>
                                  <a:pt x="0" y="0"/>
                                </a:moveTo>
                                <a:lnTo>
                                  <a:pt x="9144" y="0"/>
                                </a:lnTo>
                                <a:lnTo>
                                  <a:pt x="9144" y="893369"/>
                                </a:lnTo>
                                <a:lnTo>
                                  <a:pt x="0" y="89336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0" name="Shape 208560"/>
                        <wps:cNvSpPr/>
                        <wps:spPr>
                          <a:xfrm>
                            <a:off x="0" y="1501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1" name="Shape 208561"/>
                        <wps:cNvSpPr/>
                        <wps:spPr>
                          <a:xfrm>
                            <a:off x="6096" y="1501522"/>
                            <a:ext cx="1676654" cy="9144"/>
                          </a:xfrm>
                          <a:custGeom>
                            <a:avLst/>
                            <a:gdLst/>
                            <a:ahLst/>
                            <a:cxnLst/>
                            <a:rect l="0" t="0" r="0" b="0"/>
                            <a:pathLst>
                              <a:path w="1676654" h="9144">
                                <a:moveTo>
                                  <a:pt x="0" y="0"/>
                                </a:moveTo>
                                <a:lnTo>
                                  <a:pt x="1676654" y="0"/>
                                </a:lnTo>
                                <a:lnTo>
                                  <a:pt x="167665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2" name="Shape 208562"/>
                        <wps:cNvSpPr/>
                        <wps:spPr>
                          <a:xfrm>
                            <a:off x="1682826" y="1501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3" name="Shape 208563"/>
                        <wps:cNvSpPr/>
                        <wps:spPr>
                          <a:xfrm>
                            <a:off x="1688922" y="1501522"/>
                            <a:ext cx="1476756" cy="9144"/>
                          </a:xfrm>
                          <a:custGeom>
                            <a:avLst/>
                            <a:gdLst/>
                            <a:ahLst/>
                            <a:cxnLst/>
                            <a:rect l="0" t="0" r="0" b="0"/>
                            <a:pathLst>
                              <a:path w="1476756" h="9144">
                                <a:moveTo>
                                  <a:pt x="0" y="0"/>
                                </a:moveTo>
                                <a:lnTo>
                                  <a:pt x="1476756" y="0"/>
                                </a:lnTo>
                                <a:lnTo>
                                  <a:pt x="14767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4" name="Shape 208564"/>
                        <wps:cNvSpPr/>
                        <wps:spPr>
                          <a:xfrm>
                            <a:off x="3165678" y="1501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5" name="Shape 208565"/>
                        <wps:cNvSpPr/>
                        <wps:spPr>
                          <a:xfrm>
                            <a:off x="3171774" y="1501522"/>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6" name="Shape 208566"/>
                        <wps:cNvSpPr/>
                        <wps:spPr>
                          <a:xfrm>
                            <a:off x="4647260" y="1501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7" name="Shape 208567"/>
                        <wps:cNvSpPr/>
                        <wps:spPr>
                          <a:xfrm>
                            <a:off x="4653357" y="1501522"/>
                            <a:ext cx="1545590" cy="9144"/>
                          </a:xfrm>
                          <a:custGeom>
                            <a:avLst/>
                            <a:gdLst/>
                            <a:ahLst/>
                            <a:cxnLst/>
                            <a:rect l="0" t="0" r="0" b="0"/>
                            <a:pathLst>
                              <a:path w="1545590" h="9144">
                                <a:moveTo>
                                  <a:pt x="0" y="0"/>
                                </a:moveTo>
                                <a:lnTo>
                                  <a:pt x="1545590" y="0"/>
                                </a:lnTo>
                                <a:lnTo>
                                  <a:pt x="15455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8" name="Shape 208568"/>
                        <wps:cNvSpPr/>
                        <wps:spPr>
                          <a:xfrm>
                            <a:off x="6199073" y="1501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69" name="Shape 208569"/>
                        <wps:cNvSpPr/>
                        <wps:spPr>
                          <a:xfrm>
                            <a:off x="0" y="1507567"/>
                            <a:ext cx="9144" cy="745236"/>
                          </a:xfrm>
                          <a:custGeom>
                            <a:avLst/>
                            <a:gdLst/>
                            <a:ahLst/>
                            <a:cxnLst/>
                            <a:rect l="0" t="0" r="0" b="0"/>
                            <a:pathLst>
                              <a:path w="9144" h="745236">
                                <a:moveTo>
                                  <a:pt x="0" y="0"/>
                                </a:moveTo>
                                <a:lnTo>
                                  <a:pt x="9144" y="0"/>
                                </a:lnTo>
                                <a:lnTo>
                                  <a:pt x="9144" y="745236"/>
                                </a:lnTo>
                                <a:lnTo>
                                  <a:pt x="0" y="7452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0" name="Shape 208570"/>
                        <wps:cNvSpPr/>
                        <wps:spPr>
                          <a:xfrm>
                            <a:off x="0" y="225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1" name="Shape 208571"/>
                        <wps:cNvSpPr/>
                        <wps:spPr>
                          <a:xfrm>
                            <a:off x="6096" y="2252803"/>
                            <a:ext cx="1676654" cy="9144"/>
                          </a:xfrm>
                          <a:custGeom>
                            <a:avLst/>
                            <a:gdLst/>
                            <a:ahLst/>
                            <a:cxnLst/>
                            <a:rect l="0" t="0" r="0" b="0"/>
                            <a:pathLst>
                              <a:path w="1676654" h="9144">
                                <a:moveTo>
                                  <a:pt x="0" y="0"/>
                                </a:moveTo>
                                <a:lnTo>
                                  <a:pt x="1676654" y="0"/>
                                </a:lnTo>
                                <a:lnTo>
                                  <a:pt x="167665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2" name="Shape 208572"/>
                        <wps:cNvSpPr/>
                        <wps:spPr>
                          <a:xfrm>
                            <a:off x="1682826" y="1507567"/>
                            <a:ext cx="9144" cy="745236"/>
                          </a:xfrm>
                          <a:custGeom>
                            <a:avLst/>
                            <a:gdLst/>
                            <a:ahLst/>
                            <a:cxnLst/>
                            <a:rect l="0" t="0" r="0" b="0"/>
                            <a:pathLst>
                              <a:path w="9144" h="745236">
                                <a:moveTo>
                                  <a:pt x="0" y="0"/>
                                </a:moveTo>
                                <a:lnTo>
                                  <a:pt x="9144" y="0"/>
                                </a:lnTo>
                                <a:lnTo>
                                  <a:pt x="9144" y="745236"/>
                                </a:lnTo>
                                <a:lnTo>
                                  <a:pt x="0" y="7452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3" name="Shape 208573"/>
                        <wps:cNvSpPr/>
                        <wps:spPr>
                          <a:xfrm>
                            <a:off x="1682826" y="225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4" name="Shape 208574"/>
                        <wps:cNvSpPr/>
                        <wps:spPr>
                          <a:xfrm>
                            <a:off x="1688922" y="2252803"/>
                            <a:ext cx="1476756" cy="9144"/>
                          </a:xfrm>
                          <a:custGeom>
                            <a:avLst/>
                            <a:gdLst/>
                            <a:ahLst/>
                            <a:cxnLst/>
                            <a:rect l="0" t="0" r="0" b="0"/>
                            <a:pathLst>
                              <a:path w="1476756" h="9144">
                                <a:moveTo>
                                  <a:pt x="0" y="0"/>
                                </a:moveTo>
                                <a:lnTo>
                                  <a:pt x="1476756" y="0"/>
                                </a:lnTo>
                                <a:lnTo>
                                  <a:pt x="147675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5" name="Shape 208575"/>
                        <wps:cNvSpPr/>
                        <wps:spPr>
                          <a:xfrm>
                            <a:off x="3165678" y="1507567"/>
                            <a:ext cx="9144" cy="745236"/>
                          </a:xfrm>
                          <a:custGeom>
                            <a:avLst/>
                            <a:gdLst/>
                            <a:ahLst/>
                            <a:cxnLst/>
                            <a:rect l="0" t="0" r="0" b="0"/>
                            <a:pathLst>
                              <a:path w="9144" h="745236">
                                <a:moveTo>
                                  <a:pt x="0" y="0"/>
                                </a:moveTo>
                                <a:lnTo>
                                  <a:pt x="9144" y="0"/>
                                </a:lnTo>
                                <a:lnTo>
                                  <a:pt x="9144" y="745236"/>
                                </a:lnTo>
                                <a:lnTo>
                                  <a:pt x="0" y="7452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6" name="Shape 208576"/>
                        <wps:cNvSpPr/>
                        <wps:spPr>
                          <a:xfrm>
                            <a:off x="3165678" y="225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7" name="Shape 208577"/>
                        <wps:cNvSpPr/>
                        <wps:spPr>
                          <a:xfrm>
                            <a:off x="3171774" y="2252803"/>
                            <a:ext cx="1475486" cy="9144"/>
                          </a:xfrm>
                          <a:custGeom>
                            <a:avLst/>
                            <a:gdLst/>
                            <a:ahLst/>
                            <a:cxnLst/>
                            <a:rect l="0" t="0" r="0" b="0"/>
                            <a:pathLst>
                              <a:path w="1475486" h="9144">
                                <a:moveTo>
                                  <a:pt x="0" y="0"/>
                                </a:moveTo>
                                <a:lnTo>
                                  <a:pt x="1475486" y="0"/>
                                </a:lnTo>
                                <a:lnTo>
                                  <a:pt x="147548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8" name="Shape 208578"/>
                        <wps:cNvSpPr/>
                        <wps:spPr>
                          <a:xfrm>
                            <a:off x="4647260" y="1507567"/>
                            <a:ext cx="9144" cy="745236"/>
                          </a:xfrm>
                          <a:custGeom>
                            <a:avLst/>
                            <a:gdLst/>
                            <a:ahLst/>
                            <a:cxnLst/>
                            <a:rect l="0" t="0" r="0" b="0"/>
                            <a:pathLst>
                              <a:path w="9144" h="745236">
                                <a:moveTo>
                                  <a:pt x="0" y="0"/>
                                </a:moveTo>
                                <a:lnTo>
                                  <a:pt x="9144" y="0"/>
                                </a:lnTo>
                                <a:lnTo>
                                  <a:pt x="9144" y="745236"/>
                                </a:lnTo>
                                <a:lnTo>
                                  <a:pt x="0" y="7452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79" name="Shape 208579"/>
                        <wps:cNvSpPr/>
                        <wps:spPr>
                          <a:xfrm>
                            <a:off x="4647260" y="225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80" name="Shape 208580"/>
                        <wps:cNvSpPr/>
                        <wps:spPr>
                          <a:xfrm>
                            <a:off x="4653357" y="2252803"/>
                            <a:ext cx="1545590" cy="9144"/>
                          </a:xfrm>
                          <a:custGeom>
                            <a:avLst/>
                            <a:gdLst/>
                            <a:ahLst/>
                            <a:cxnLst/>
                            <a:rect l="0" t="0" r="0" b="0"/>
                            <a:pathLst>
                              <a:path w="1545590" h="9144">
                                <a:moveTo>
                                  <a:pt x="0" y="0"/>
                                </a:moveTo>
                                <a:lnTo>
                                  <a:pt x="1545590" y="0"/>
                                </a:lnTo>
                                <a:lnTo>
                                  <a:pt x="15455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81" name="Shape 208581"/>
                        <wps:cNvSpPr/>
                        <wps:spPr>
                          <a:xfrm>
                            <a:off x="6199073" y="1507567"/>
                            <a:ext cx="9144" cy="745236"/>
                          </a:xfrm>
                          <a:custGeom>
                            <a:avLst/>
                            <a:gdLst/>
                            <a:ahLst/>
                            <a:cxnLst/>
                            <a:rect l="0" t="0" r="0" b="0"/>
                            <a:pathLst>
                              <a:path w="9144" h="745236">
                                <a:moveTo>
                                  <a:pt x="0" y="0"/>
                                </a:moveTo>
                                <a:lnTo>
                                  <a:pt x="9144" y="0"/>
                                </a:lnTo>
                                <a:lnTo>
                                  <a:pt x="9144" y="745236"/>
                                </a:lnTo>
                                <a:lnTo>
                                  <a:pt x="0" y="745236"/>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08582" name="Shape 208582"/>
                        <wps:cNvSpPr/>
                        <wps:spPr>
                          <a:xfrm>
                            <a:off x="6199073" y="225280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57317" style="width:488.596pt;height:177.866pt;position:absolute;z-index:-2147483469;mso-position-horizontal-relative:text;mso-position-horizontal:absolute;margin-left:9.384pt;mso-position-vertical-relative:text;margin-top:-155.711pt;" coordsize="62051,22588">
                <v:shape id="Shape 1035" style="position:absolute;width:16751;height:5962;left:2;top:46;" coordsize="1675130,596266" path="m0,0l1675130,596266">
                  <v:stroke weight="0.48pt" endcap="flat" joinstyle="round" on="true" color="#000000"/>
                  <v:fill on="false" color="#000000" opacity="0"/>
                </v:shape>
                <v:shape id="Shape 208583" style="position:absolute;width:16766;height:5958;left:60;top:60;" coordsize="1676654,595884" path="m0,0l1676654,0l1676654,595884l0,595884l0,0">
                  <v:stroke weight="0pt" endcap="flat" joinstyle="round" on="false" color="#000000" opacity="0"/>
                  <v:fill on="true" color="#d9d9d9"/>
                </v:shape>
                <v:shape id="Shape 208584" style="position:absolute;width:16766;height:1402;left:60;top:60;" coordsize="1676654,140208" path="m0,0l1676654,0l1676654,140208l0,140208l0,0">
                  <v:stroke weight="0pt" endcap="flat" joinstyle="round" on="false" color="#000000" opacity="0"/>
                  <v:fill on="true" color="#d9d9d9"/>
                </v:shape>
                <v:shape id="Shape 208585" style="position:absolute;width:16766;height:1310;left:60;top:1463;" coordsize="1676654,131064" path="m0,0l1676654,0l1676654,131064l0,131064l0,0">
                  <v:stroke weight="0pt" endcap="flat" joinstyle="round" on="false" color="#000000" opacity="0"/>
                  <v:fill on="true" color="#d9d9d9"/>
                </v:shape>
                <v:shape id="Shape 208586" style="position:absolute;width:16766;height:1752;left:60;top:2773;" coordsize="1676654,175260" path="m0,0l1676654,0l1676654,175260l0,175260l0,0">
                  <v:stroke weight="0pt" endcap="flat" joinstyle="round" on="false" color="#000000" opacity="0"/>
                  <v:fill on="true" color="#d9d9d9"/>
                </v:shape>
                <v:shape id="Shape 208587" style="position:absolute;width:16766;height:1356;left:60;top:4526;" coordsize="1676654,135637" path="m0,0l1676654,0l1676654,135637l0,135637l0,0">
                  <v:stroke weight="0pt" endcap="flat" joinstyle="round" on="false" color="#000000" opacity="0"/>
                  <v:fill on="true" color="#d9d9d9"/>
                </v:shape>
                <v:shape id="Shape 208588" style="position:absolute;width:91;height:91;left:0;top:0;" coordsize="9144,9144" path="m0,0l9144,0l9144,9144l0,9144l0,0">
                  <v:stroke weight="0pt" endcap="flat" joinstyle="round" on="false" color="#000000" opacity="0"/>
                  <v:fill on="true" color="#000000"/>
                </v:shape>
                <v:shape id="Shape 208589" style="position:absolute;width:16766;height:91;left:60;top:0;" coordsize="1676654,9144" path="m0,0l1676654,0l1676654,9144l0,9144l0,0">
                  <v:stroke weight="0pt" endcap="flat" joinstyle="round" on="false" color="#000000" opacity="0"/>
                  <v:fill on="true" color="#000000"/>
                </v:shape>
                <v:shape id="Shape 208590" style="position:absolute;width:91;height:91;left:16828;top:0;" coordsize="9144,9144" path="m0,0l9144,0l9144,9144l0,9144l0,0">
                  <v:stroke weight="0pt" endcap="flat" joinstyle="round" on="false" color="#000000" opacity="0"/>
                  <v:fill on="true" color="#000000"/>
                </v:shape>
                <v:shape id="Shape 208591" style="position:absolute;width:14767;height:91;left:16889;top:0;" coordsize="1476756,9144" path="m0,0l1476756,0l1476756,9144l0,9144l0,0">
                  <v:stroke weight="0pt" endcap="flat" joinstyle="round" on="false" color="#000000" opacity="0"/>
                  <v:fill on="true" color="#000000"/>
                </v:shape>
                <v:shape id="Shape 208592" style="position:absolute;width:91;height:91;left:31656;top:0;" coordsize="9144,9144" path="m0,0l9144,0l9144,9144l0,9144l0,0">
                  <v:stroke weight="0pt" endcap="flat" joinstyle="round" on="false" color="#000000" opacity="0"/>
                  <v:fill on="true" color="#000000"/>
                </v:shape>
                <v:shape id="Shape 208593" style="position:absolute;width:14754;height:91;left:31717;top:0;" coordsize="1475486,9144" path="m0,0l1475486,0l1475486,9144l0,9144l0,0">
                  <v:stroke weight="0pt" endcap="flat" joinstyle="round" on="false" color="#000000" opacity="0"/>
                  <v:fill on="true" color="#000000"/>
                </v:shape>
                <v:shape id="Shape 208594" style="position:absolute;width:91;height:91;left:46472;top:0;" coordsize="9144,9144" path="m0,0l9144,0l9144,9144l0,9144l0,0">
                  <v:stroke weight="0pt" endcap="flat" joinstyle="round" on="false" color="#000000" opacity="0"/>
                  <v:fill on="true" color="#000000"/>
                </v:shape>
                <v:shape id="Shape 208595" style="position:absolute;width:15455;height:91;left:46533;top:0;" coordsize="1545590,9144" path="m0,0l1545590,0l1545590,9144l0,9144l0,0">
                  <v:stroke weight="0pt" endcap="flat" joinstyle="round" on="false" color="#000000" opacity="0"/>
                  <v:fill on="true" color="#000000"/>
                </v:shape>
                <v:shape id="Shape 208596" style="position:absolute;width:91;height:91;left:61990;top:0;" coordsize="9144,9144" path="m0,0l9144,0l9144,9144l0,9144l0,0">
                  <v:stroke weight="0pt" endcap="flat" joinstyle="round" on="false" color="#000000" opacity="0"/>
                  <v:fill on="true" color="#000000"/>
                </v:shape>
                <v:shape id="Shape 208597" style="position:absolute;width:91;height:5958;left:0;top:60;" coordsize="9144,595884" path="m0,0l9144,0l9144,595884l0,595884l0,0">
                  <v:stroke weight="0pt" endcap="flat" joinstyle="round" on="false" color="#000000" opacity="0"/>
                  <v:fill on="true" color="#000000"/>
                </v:shape>
                <v:shape id="Shape 208598" style="position:absolute;width:91;height:5958;left:16828;top:60;" coordsize="9144,595884" path="m0,0l9144,0l9144,595884l0,595884l0,0">
                  <v:stroke weight="0pt" endcap="flat" joinstyle="round" on="false" color="#000000" opacity="0"/>
                  <v:fill on="true" color="#000000"/>
                </v:shape>
                <v:shape id="Shape 208599" style="position:absolute;width:91;height:5958;left:31656;top:60;" coordsize="9144,595884" path="m0,0l9144,0l9144,595884l0,595884l0,0">
                  <v:stroke weight="0pt" endcap="flat" joinstyle="round" on="false" color="#000000" opacity="0"/>
                  <v:fill on="true" color="#000000"/>
                </v:shape>
                <v:shape id="Shape 208600" style="position:absolute;width:91;height:5958;left:46472;top:60;" coordsize="9144,595884" path="m0,0l9144,0l9144,595884l0,595884l0,0">
                  <v:stroke weight="0pt" endcap="flat" joinstyle="round" on="false" color="#000000" opacity="0"/>
                  <v:fill on="true" color="#000000"/>
                </v:shape>
                <v:shape id="Shape 208601" style="position:absolute;width:91;height:5958;left:61990;top:60;" coordsize="9144,595884" path="m0,0l9144,0l9144,595884l0,595884l0,0">
                  <v:stroke weight="0pt" endcap="flat" joinstyle="round" on="false" color="#000000" opacity="0"/>
                  <v:fill on="true" color="#000000"/>
                </v:shape>
                <v:shape id="Shape 208602" style="position:absolute;width:91;height:91;left:0;top:6019;" coordsize="9144,9144" path="m0,0l9144,0l9144,9144l0,9144l0,0">
                  <v:stroke weight="0pt" endcap="flat" joinstyle="round" on="false" color="#000000" opacity="0"/>
                  <v:fill on="true" color="#000000"/>
                </v:shape>
                <v:shape id="Shape 208603" style="position:absolute;width:16766;height:91;left:60;top:6019;" coordsize="1676654,9144" path="m0,0l1676654,0l1676654,9144l0,9144l0,0">
                  <v:stroke weight="0pt" endcap="flat" joinstyle="round" on="false" color="#000000" opacity="0"/>
                  <v:fill on="true" color="#000000"/>
                </v:shape>
                <v:shape id="Shape 208604" style="position:absolute;width:91;height:91;left:16828;top:6019;" coordsize="9144,9144" path="m0,0l9144,0l9144,9144l0,9144l0,0">
                  <v:stroke weight="0pt" endcap="flat" joinstyle="round" on="false" color="#000000" opacity="0"/>
                  <v:fill on="true" color="#000000"/>
                </v:shape>
                <v:shape id="Shape 208605" style="position:absolute;width:14767;height:91;left:16889;top:6019;" coordsize="1476756,9144" path="m0,0l1476756,0l1476756,9144l0,9144l0,0">
                  <v:stroke weight="0pt" endcap="flat" joinstyle="round" on="false" color="#000000" opacity="0"/>
                  <v:fill on="true" color="#000000"/>
                </v:shape>
                <v:shape id="Shape 208606" style="position:absolute;width:91;height:91;left:31656;top:6019;" coordsize="9144,9144" path="m0,0l9144,0l9144,9144l0,9144l0,0">
                  <v:stroke weight="0pt" endcap="flat" joinstyle="round" on="false" color="#000000" opacity="0"/>
                  <v:fill on="true" color="#000000"/>
                </v:shape>
                <v:shape id="Shape 208607" style="position:absolute;width:14754;height:91;left:31717;top:6019;" coordsize="1475486,9144" path="m0,0l1475486,0l1475486,9144l0,9144l0,0">
                  <v:stroke weight="0pt" endcap="flat" joinstyle="round" on="false" color="#000000" opacity="0"/>
                  <v:fill on="true" color="#000000"/>
                </v:shape>
                <v:shape id="Shape 208608" style="position:absolute;width:91;height:91;left:46472;top:6019;" coordsize="9144,9144" path="m0,0l9144,0l9144,9144l0,9144l0,0">
                  <v:stroke weight="0pt" endcap="flat" joinstyle="round" on="false" color="#000000" opacity="0"/>
                  <v:fill on="true" color="#000000"/>
                </v:shape>
                <v:shape id="Shape 208609" style="position:absolute;width:15455;height:91;left:46533;top:6019;" coordsize="1545590,9144" path="m0,0l1545590,0l1545590,9144l0,9144l0,0">
                  <v:stroke weight="0pt" endcap="flat" joinstyle="round" on="false" color="#000000" opacity="0"/>
                  <v:fill on="true" color="#000000"/>
                </v:shape>
                <v:shape id="Shape 208610" style="position:absolute;width:91;height:91;left:61990;top:6019;" coordsize="9144,9144" path="m0,0l9144,0l9144,9144l0,9144l0,0">
                  <v:stroke weight="0pt" endcap="flat" joinstyle="round" on="false" color="#000000" opacity="0"/>
                  <v:fill on="true" color="#000000"/>
                </v:shape>
                <v:shape id="Shape 208611" style="position:absolute;width:91;height:8933;left:0;top:6081;" coordsize="9144,893369" path="m0,0l9144,0l9144,893369l0,893369l0,0">
                  <v:stroke weight="0pt" endcap="flat" joinstyle="round" on="false" color="#000000" opacity="0"/>
                  <v:fill on="true" color="#000000"/>
                </v:shape>
                <v:shape id="Shape 208612" style="position:absolute;width:91;height:8933;left:16828;top:6081;" coordsize="9144,893369" path="m0,0l9144,0l9144,893369l0,893369l0,0">
                  <v:stroke weight="0pt" endcap="flat" joinstyle="round" on="false" color="#000000" opacity="0"/>
                  <v:fill on="true" color="#000000"/>
                </v:shape>
                <v:shape id="Shape 208613" style="position:absolute;width:91;height:8933;left:31656;top:6081;" coordsize="9144,893369" path="m0,0l9144,0l9144,893369l0,893369l0,0">
                  <v:stroke weight="0pt" endcap="flat" joinstyle="round" on="false" color="#000000" opacity="0"/>
                  <v:fill on="true" color="#000000"/>
                </v:shape>
                <v:shape id="Shape 208614" style="position:absolute;width:91;height:8933;left:46472;top:6081;" coordsize="9144,893369" path="m0,0l9144,0l9144,893369l0,893369l0,0">
                  <v:stroke weight="0pt" endcap="flat" joinstyle="round" on="false" color="#000000" opacity="0"/>
                  <v:fill on="true" color="#000000"/>
                </v:shape>
                <v:shape id="Shape 208615" style="position:absolute;width:91;height:8933;left:61990;top:6081;" coordsize="9144,893369" path="m0,0l9144,0l9144,893369l0,893369l0,0">
                  <v:stroke weight="0pt" endcap="flat" joinstyle="round" on="false" color="#000000" opacity="0"/>
                  <v:fill on="true" color="#000000"/>
                </v:shape>
                <v:shape id="Shape 208616" style="position:absolute;width:91;height:91;left:0;top:15015;" coordsize="9144,9144" path="m0,0l9144,0l9144,9144l0,9144l0,0">
                  <v:stroke weight="0pt" endcap="flat" joinstyle="round" on="false" color="#000000" opacity="0"/>
                  <v:fill on="true" color="#000000"/>
                </v:shape>
                <v:shape id="Shape 208617" style="position:absolute;width:16766;height:91;left:60;top:15015;" coordsize="1676654,9144" path="m0,0l1676654,0l1676654,9144l0,9144l0,0">
                  <v:stroke weight="0pt" endcap="flat" joinstyle="round" on="false" color="#000000" opacity="0"/>
                  <v:fill on="true" color="#000000"/>
                </v:shape>
                <v:shape id="Shape 208618" style="position:absolute;width:91;height:91;left:16828;top:15015;" coordsize="9144,9144" path="m0,0l9144,0l9144,9144l0,9144l0,0">
                  <v:stroke weight="0pt" endcap="flat" joinstyle="round" on="false" color="#000000" opacity="0"/>
                  <v:fill on="true" color="#000000"/>
                </v:shape>
                <v:shape id="Shape 208619" style="position:absolute;width:14767;height:91;left:16889;top:15015;" coordsize="1476756,9144" path="m0,0l1476756,0l1476756,9144l0,9144l0,0">
                  <v:stroke weight="0pt" endcap="flat" joinstyle="round" on="false" color="#000000" opacity="0"/>
                  <v:fill on="true" color="#000000"/>
                </v:shape>
                <v:shape id="Shape 208620" style="position:absolute;width:91;height:91;left:31656;top:15015;" coordsize="9144,9144" path="m0,0l9144,0l9144,9144l0,9144l0,0">
                  <v:stroke weight="0pt" endcap="flat" joinstyle="round" on="false" color="#000000" opacity="0"/>
                  <v:fill on="true" color="#000000"/>
                </v:shape>
                <v:shape id="Shape 208621" style="position:absolute;width:14754;height:91;left:31717;top:15015;" coordsize="1475486,9144" path="m0,0l1475486,0l1475486,9144l0,9144l0,0">
                  <v:stroke weight="0pt" endcap="flat" joinstyle="round" on="false" color="#000000" opacity="0"/>
                  <v:fill on="true" color="#000000"/>
                </v:shape>
                <v:shape id="Shape 208622" style="position:absolute;width:91;height:91;left:46472;top:15015;" coordsize="9144,9144" path="m0,0l9144,0l9144,9144l0,9144l0,0">
                  <v:stroke weight="0pt" endcap="flat" joinstyle="round" on="false" color="#000000" opacity="0"/>
                  <v:fill on="true" color="#000000"/>
                </v:shape>
                <v:shape id="Shape 208623" style="position:absolute;width:15455;height:91;left:46533;top:15015;" coordsize="1545590,9144" path="m0,0l1545590,0l1545590,9144l0,9144l0,0">
                  <v:stroke weight="0pt" endcap="flat" joinstyle="round" on="false" color="#000000" opacity="0"/>
                  <v:fill on="true" color="#000000"/>
                </v:shape>
                <v:shape id="Shape 208624" style="position:absolute;width:91;height:91;left:61990;top:15015;" coordsize="9144,9144" path="m0,0l9144,0l9144,9144l0,9144l0,0">
                  <v:stroke weight="0pt" endcap="flat" joinstyle="round" on="false" color="#000000" opacity="0"/>
                  <v:fill on="true" color="#000000"/>
                </v:shape>
                <v:shape id="Shape 208625" style="position:absolute;width:91;height:7452;left:0;top:15075;" coordsize="9144,745236" path="m0,0l9144,0l9144,745236l0,745236l0,0">
                  <v:stroke weight="0pt" endcap="flat" joinstyle="round" on="false" color="#000000" opacity="0"/>
                  <v:fill on="true" color="#000000"/>
                </v:shape>
                <v:shape id="Shape 208626" style="position:absolute;width:91;height:91;left:0;top:22528;" coordsize="9144,9144" path="m0,0l9144,0l9144,9144l0,9144l0,0">
                  <v:stroke weight="0pt" endcap="flat" joinstyle="round" on="false" color="#000000" opacity="0"/>
                  <v:fill on="true" color="#000000"/>
                </v:shape>
                <v:shape id="Shape 208627" style="position:absolute;width:16766;height:91;left:60;top:22528;" coordsize="1676654,9144" path="m0,0l1676654,0l1676654,9144l0,9144l0,0">
                  <v:stroke weight="0pt" endcap="flat" joinstyle="round" on="false" color="#000000" opacity="0"/>
                  <v:fill on="true" color="#000000"/>
                </v:shape>
                <v:shape id="Shape 208628" style="position:absolute;width:91;height:7452;left:16828;top:15075;" coordsize="9144,745236" path="m0,0l9144,0l9144,745236l0,745236l0,0">
                  <v:stroke weight="0pt" endcap="flat" joinstyle="round" on="false" color="#000000" opacity="0"/>
                  <v:fill on="true" color="#000000"/>
                </v:shape>
                <v:shape id="Shape 208629" style="position:absolute;width:91;height:91;left:16828;top:22528;" coordsize="9144,9144" path="m0,0l9144,0l9144,9144l0,9144l0,0">
                  <v:stroke weight="0pt" endcap="flat" joinstyle="round" on="false" color="#000000" opacity="0"/>
                  <v:fill on="true" color="#000000"/>
                </v:shape>
                <v:shape id="Shape 208630" style="position:absolute;width:14767;height:91;left:16889;top:22528;" coordsize="1476756,9144" path="m0,0l1476756,0l1476756,9144l0,9144l0,0">
                  <v:stroke weight="0pt" endcap="flat" joinstyle="round" on="false" color="#000000" opacity="0"/>
                  <v:fill on="true" color="#000000"/>
                </v:shape>
                <v:shape id="Shape 208631" style="position:absolute;width:91;height:7452;left:31656;top:15075;" coordsize="9144,745236" path="m0,0l9144,0l9144,745236l0,745236l0,0">
                  <v:stroke weight="0pt" endcap="flat" joinstyle="round" on="false" color="#000000" opacity="0"/>
                  <v:fill on="true" color="#000000"/>
                </v:shape>
                <v:shape id="Shape 208632" style="position:absolute;width:91;height:91;left:31656;top:22528;" coordsize="9144,9144" path="m0,0l9144,0l9144,9144l0,9144l0,0">
                  <v:stroke weight="0pt" endcap="flat" joinstyle="round" on="false" color="#000000" opacity="0"/>
                  <v:fill on="true" color="#000000"/>
                </v:shape>
                <v:shape id="Shape 208633" style="position:absolute;width:14754;height:91;left:31717;top:22528;" coordsize="1475486,9144" path="m0,0l1475486,0l1475486,9144l0,9144l0,0">
                  <v:stroke weight="0pt" endcap="flat" joinstyle="round" on="false" color="#000000" opacity="0"/>
                  <v:fill on="true" color="#000000"/>
                </v:shape>
                <v:shape id="Shape 208634" style="position:absolute;width:91;height:7452;left:46472;top:15075;" coordsize="9144,745236" path="m0,0l9144,0l9144,745236l0,745236l0,0">
                  <v:stroke weight="0pt" endcap="flat" joinstyle="round" on="false" color="#000000" opacity="0"/>
                  <v:fill on="true" color="#000000"/>
                </v:shape>
                <v:shape id="Shape 208635" style="position:absolute;width:91;height:91;left:46472;top:22528;" coordsize="9144,9144" path="m0,0l9144,0l9144,9144l0,9144l0,0">
                  <v:stroke weight="0pt" endcap="flat" joinstyle="round" on="false" color="#000000" opacity="0"/>
                  <v:fill on="true" color="#000000"/>
                </v:shape>
                <v:shape id="Shape 208636" style="position:absolute;width:15455;height:91;left:46533;top:22528;" coordsize="1545590,9144" path="m0,0l1545590,0l1545590,9144l0,9144l0,0">
                  <v:stroke weight="0pt" endcap="flat" joinstyle="round" on="false" color="#000000" opacity="0"/>
                  <v:fill on="true" color="#000000"/>
                </v:shape>
                <v:shape id="Shape 208637" style="position:absolute;width:91;height:7452;left:61990;top:15075;" coordsize="9144,745236" path="m0,0l9144,0l9144,745236l0,745236l0,0">
                  <v:stroke weight="0pt" endcap="flat" joinstyle="round" on="false" color="#000000" opacity="0"/>
                  <v:fill on="true" color="#000000"/>
                </v:shape>
                <v:shape id="Shape 208638" style="position:absolute;width:91;height:91;left:61990;top:22528;" coordsize="9144,9144" path="m0,0l9144,0l9144,9144l0,9144l0,0">
                  <v:stroke weight="0pt" endcap="flat" joinstyle="round" on="false" color="#000000" opacity="0"/>
                  <v:fill on="true" color="#000000"/>
                </v:shape>
              </v:group>
            </w:pict>
          </mc:Fallback>
        </mc:AlternateContent>
      </w:r>
      <w:r>
        <w:rPr>
          <w:rFonts w:ascii="Calibri" w:eastAsia="Calibri" w:hAnsi="Calibri" w:cs="Calibri"/>
          <w:sz w:val="18"/>
        </w:rPr>
        <w:t xml:space="preserve">Gestión del Conocimiento </w:t>
      </w:r>
      <w:r>
        <w:rPr>
          <w:rFonts w:ascii="Calibri" w:eastAsia="Calibri" w:hAnsi="Calibri" w:cs="Calibri"/>
          <w:sz w:val="18"/>
        </w:rPr>
        <w:tab/>
      </w:r>
      <w:proofErr w:type="spellStart"/>
      <w:r>
        <w:rPr>
          <w:rFonts w:ascii="Calibri" w:eastAsia="Calibri" w:hAnsi="Calibri" w:cs="Calibri"/>
          <w:sz w:val="18"/>
        </w:rPr>
        <w:t>conocimiento</w:t>
      </w:r>
      <w:proofErr w:type="spellEnd"/>
      <w:r>
        <w:rPr>
          <w:rFonts w:ascii="Calibri" w:eastAsia="Calibri" w:hAnsi="Calibri" w:cs="Calibri"/>
          <w:sz w:val="18"/>
        </w:rPr>
        <w:t xml:space="preserve"> entre actores </w:t>
      </w:r>
      <w:r>
        <w:rPr>
          <w:rFonts w:ascii="Calibri" w:eastAsia="Calibri" w:hAnsi="Calibri" w:cs="Calibri"/>
          <w:sz w:val="18"/>
        </w:rPr>
        <w:tab/>
        <w:t>7.3.</w:t>
      </w:r>
      <w:r>
        <w:rPr>
          <w:sz w:val="18"/>
        </w:rPr>
        <w:t xml:space="preserve"> </w:t>
      </w:r>
      <w:r>
        <w:rPr>
          <w:rFonts w:ascii="Calibri" w:eastAsia="Calibri" w:hAnsi="Calibri" w:cs="Calibri"/>
          <w:sz w:val="18"/>
        </w:rPr>
        <w:t xml:space="preserve">Toma de conciencia, 7.4. TIC internos y terceros. </w:t>
      </w:r>
      <w:r>
        <w:rPr>
          <w:rFonts w:ascii="Calibri" w:eastAsia="Calibri" w:hAnsi="Calibri" w:cs="Calibri"/>
          <w:sz w:val="18"/>
        </w:rPr>
        <w:tab/>
        <w:t xml:space="preserve">Comunicación. </w:t>
      </w:r>
    </w:p>
    <w:p w:rsidR="0076001D" w:rsidRDefault="0034129A">
      <w:pPr>
        <w:spacing w:after="0" w:line="259" w:lineRule="auto"/>
        <w:ind w:left="0" w:firstLine="0"/>
        <w:jc w:val="left"/>
      </w:pPr>
      <w:r>
        <w:t xml:space="preserve"> </w:t>
      </w:r>
    </w:p>
    <w:p w:rsidR="0076001D" w:rsidRDefault="0034129A">
      <w:pPr>
        <w:spacing w:after="0" w:line="259" w:lineRule="auto"/>
        <w:ind w:left="178" w:right="-141" w:firstLine="0"/>
        <w:jc w:val="left"/>
      </w:pPr>
      <w:r>
        <w:rPr>
          <w:noProof/>
          <w:lang w:val="es-ES" w:eastAsia="es-ES"/>
        </w:rPr>
        <w:lastRenderedPageBreak/>
        <w:drawing>
          <wp:inline distT="0" distB="0" distL="0" distR="0">
            <wp:extent cx="6208776" cy="3822192"/>
            <wp:effectExtent l="0" t="0" r="0" b="0"/>
            <wp:docPr id="201330" name="Picture 201330"/>
            <wp:cNvGraphicFramePr/>
            <a:graphic xmlns:a="http://schemas.openxmlformats.org/drawingml/2006/main">
              <a:graphicData uri="http://schemas.openxmlformats.org/drawingml/2006/picture">
                <pic:pic xmlns:pic="http://schemas.openxmlformats.org/drawingml/2006/picture">
                  <pic:nvPicPr>
                    <pic:cNvPr id="201330" name="Picture 201330"/>
                    <pic:cNvPicPr/>
                  </pic:nvPicPr>
                  <pic:blipFill>
                    <a:blip r:embed="rId59"/>
                    <a:stretch>
                      <a:fillRect/>
                    </a:stretch>
                  </pic:blipFill>
                  <pic:spPr>
                    <a:xfrm>
                      <a:off x="0" y="0"/>
                      <a:ext cx="6208776" cy="3822192"/>
                    </a:xfrm>
                    <a:prstGeom prst="rect">
                      <a:avLst/>
                    </a:prstGeom>
                  </pic:spPr>
                </pic:pic>
              </a:graphicData>
            </a:graphic>
          </wp:inline>
        </w:drawing>
      </w:r>
    </w:p>
    <w:p w:rsidR="0076001D" w:rsidRDefault="0034129A">
      <w:pPr>
        <w:ind w:left="862" w:right="180" w:firstLine="348"/>
      </w:pPr>
      <w:r>
        <w:t xml:space="preserve">A nivel de Planeación institucional, hay correlación aceptable entre los documentos </w:t>
      </w:r>
      <w:r>
        <w:rPr>
          <w:i/>
        </w:rPr>
        <w:t xml:space="preserve">Seguimiento plan acción MIPG II Trimestre 2020.xlsx </w:t>
      </w:r>
      <w:r>
        <w:t xml:space="preserve">y </w:t>
      </w:r>
      <w:r>
        <w:rPr>
          <w:i/>
        </w:rPr>
        <w:t>II Trimestre seguimiento POA 2020_0.xls</w:t>
      </w:r>
      <w:r>
        <w:t xml:space="preserve">, que incluyen las actividades de alto nivel que hacen parte de la gestión tecnológica de la entidad, incluyendo la atención de las políticas de gobierno Digital y Seguridad Digital, Sin embargo, no es claro el alcance contemplado en cada una de ellas con respecto a los lineamientos de gobierno Digital. </w:t>
      </w:r>
    </w:p>
    <w:p w:rsidR="0076001D" w:rsidRDefault="0034129A">
      <w:pPr>
        <w:spacing w:after="21" w:line="259" w:lineRule="auto"/>
        <w:ind w:left="0" w:firstLine="0"/>
        <w:jc w:val="left"/>
      </w:pPr>
      <w:r>
        <w:rPr>
          <w:sz w:val="20"/>
        </w:rPr>
        <w:t xml:space="preserve"> </w:t>
      </w:r>
    </w:p>
    <w:p w:rsidR="0076001D" w:rsidRDefault="0034129A">
      <w:pPr>
        <w:spacing w:after="0" w:line="259" w:lineRule="auto"/>
        <w:ind w:left="0" w:firstLine="0"/>
        <w:jc w:val="left"/>
      </w:pPr>
      <w:r>
        <w:rPr>
          <w:sz w:val="24"/>
        </w:rPr>
        <w:t xml:space="preserve"> </w:t>
      </w:r>
    </w:p>
    <w:tbl>
      <w:tblPr>
        <w:tblStyle w:val="TableGrid"/>
        <w:tblW w:w="9189" w:type="dxa"/>
        <w:tblInd w:w="479" w:type="dxa"/>
        <w:tblCellMar>
          <w:left w:w="4" w:type="dxa"/>
          <w:right w:w="12" w:type="dxa"/>
        </w:tblCellMar>
        <w:tblLook w:val="04A0" w:firstRow="1" w:lastRow="0" w:firstColumn="1" w:lastColumn="0" w:noHBand="0" w:noVBand="1"/>
      </w:tblPr>
      <w:tblGrid>
        <w:gridCol w:w="3541"/>
        <w:gridCol w:w="2128"/>
        <w:gridCol w:w="3520"/>
      </w:tblGrid>
      <w:tr w:rsidR="0076001D">
        <w:trPr>
          <w:trHeight w:val="470"/>
        </w:trPr>
        <w:tc>
          <w:tcPr>
            <w:tcW w:w="3540"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0" w:right="2" w:firstLine="0"/>
              <w:jc w:val="center"/>
            </w:pPr>
            <w:r>
              <w:rPr>
                <w:b/>
                <w:sz w:val="20"/>
              </w:rPr>
              <w:t xml:space="preserve">PLAN DE ACCION MIPG </w:t>
            </w:r>
          </w:p>
        </w:tc>
        <w:tc>
          <w:tcPr>
            <w:tcW w:w="2128"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0" w:firstLine="0"/>
              <w:jc w:val="center"/>
            </w:pPr>
            <w:r>
              <w:rPr>
                <w:b/>
                <w:sz w:val="20"/>
              </w:rPr>
              <w:t xml:space="preserve">PRESUNTA CORRELACION POA </w:t>
            </w:r>
          </w:p>
        </w:tc>
        <w:tc>
          <w:tcPr>
            <w:tcW w:w="3520"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10" w:firstLine="0"/>
              <w:jc w:val="center"/>
            </w:pPr>
            <w:r>
              <w:rPr>
                <w:b/>
                <w:sz w:val="20"/>
              </w:rPr>
              <w:t xml:space="preserve">OBSERVACION AUDITORIA </w:t>
            </w:r>
          </w:p>
        </w:tc>
      </w:tr>
      <w:tr w:rsidR="0076001D">
        <w:trPr>
          <w:trHeight w:val="3530"/>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58" w:line="259" w:lineRule="auto"/>
              <w:ind w:left="0" w:firstLine="0"/>
              <w:jc w:val="left"/>
            </w:pPr>
            <w:r>
              <w:rPr>
                <w:sz w:val="20"/>
              </w:rPr>
              <w:t xml:space="preserve"> </w:t>
            </w:r>
          </w:p>
          <w:p w:rsidR="0076001D" w:rsidRDefault="0034129A">
            <w:pPr>
              <w:spacing w:after="0" w:line="259" w:lineRule="auto"/>
              <w:ind w:left="0" w:firstLine="0"/>
              <w:jc w:val="left"/>
            </w:pPr>
            <w:r>
              <w:rPr>
                <w:sz w:val="27"/>
              </w:rPr>
              <w:t xml:space="preserve"> </w:t>
            </w:r>
          </w:p>
          <w:p w:rsidR="0076001D" w:rsidRDefault="0034129A">
            <w:pPr>
              <w:spacing w:after="2" w:line="239" w:lineRule="auto"/>
              <w:ind w:left="70" w:right="55" w:firstLine="0"/>
            </w:pPr>
            <w:r>
              <w:rPr>
                <w:sz w:val="18"/>
              </w:rPr>
              <w:t xml:space="preserve">Formular y ejecutar el plan de mantenimiento preventivo y evolutivo (de mejoramiento) sobre la infraestructura de TI de acuerdo con los lineamientos de </w:t>
            </w:r>
          </w:p>
          <w:p w:rsidR="0076001D" w:rsidRDefault="0034129A">
            <w:pPr>
              <w:spacing w:after="0" w:line="259" w:lineRule="auto"/>
              <w:ind w:left="70" w:firstLine="0"/>
              <w:jc w:val="left"/>
            </w:pPr>
            <w:r>
              <w:rPr>
                <w:sz w:val="18"/>
              </w:rPr>
              <w:t xml:space="preserve">Gobierno Digital (pregunta 84)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 w:firstLine="0"/>
              <w:jc w:val="left"/>
            </w:pPr>
            <w:r>
              <w:rPr>
                <w:sz w:val="20"/>
              </w:rPr>
              <w:t xml:space="preserve"> </w:t>
            </w:r>
          </w:p>
          <w:p w:rsidR="0076001D" w:rsidRDefault="0034129A">
            <w:pPr>
              <w:spacing w:after="0" w:line="259" w:lineRule="auto"/>
              <w:ind w:left="2" w:firstLine="0"/>
              <w:jc w:val="left"/>
            </w:pPr>
            <w:r>
              <w:rPr>
                <w:sz w:val="20"/>
              </w:rPr>
              <w:t xml:space="preserve"> </w:t>
            </w:r>
          </w:p>
          <w:p w:rsidR="0076001D" w:rsidRDefault="0034129A">
            <w:pPr>
              <w:spacing w:after="0" w:line="259" w:lineRule="auto"/>
              <w:ind w:left="2" w:firstLine="0"/>
              <w:jc w:val="left"/>
            </w:pPr>
            <w:r>
              <w:rPr>
                <w:sz w:val="20"/>
              </w:rPr>
              <w:t xml:space="preserve"> </w:t>
            </w:r>
          </w:p>
          <w:p w:rsidR="0076001D" w:rsidRDefault="0034129A">
            <w:pPr>
              <w:spacing w:after="0" w:line="259" w:lineRule="auto"/>
              <w:ind w:left="2" w:firstLine="0"/>
              <w:jc w:val="left"/>
            </w:pPr>
            <w:r>
              <w:rPr>
                <w:sz w:val="20"/>
              </w:rPr>
              <w:t xml:space="preserve"> </w:t>
            </w:r>
          </w:p>
          <w:p w:rsidR="0076001D" w:rsidRDefault="0034129A">
            <w:pPr>
              <w:spacing w:after="0" w:line="259" w:lineRule="auto"/>
              <w:ind w:left="2" w:firstLine="0"/>
              <w:jc w:val="left"/>
            </w:pPr>
            <w:r>
              <w:rPr>
                <w:sz w:val="20"/>
              </w:rPr>
              <w:t xml:space="preserve"> </w:t>
            </w:r>
          </w:p>
          <w:p w:rsidR="0076001D" w:rsidRDefault="0034129A">
            <w:pPr>
              <w:spacing w:line="259" w:lineRule="auto"/>
              <w:ind w:left="2" w:firstLine="0"/>
              <w:jc w:val="left"/>
            </w:pPr>
            <w:r>
              <w:rPr>
                <w:sz w:val="16"/>
              </w:rPr>
              <w:t xml:space="preserve"> </w:t>
            </w:r>
          </w:p>
          <w:p w:rsidR="0076001D" w:rsidRDefault="0034129A">
            <w:pPr>
              <w:spacing w:after="0" w:line="239" w:lineRule="auto"/>
              <w:ind w:left="70" w:right="54" w:firstLine="0"/>
            </w:pPr>
            <w:r>
              <w:rPr>
                <w:sz w:val="18"/>
              </w:rPr>
              <w:t xml:space="preserve">Formulación y ejecución del plan de mantenimiento y </w:t>
            </w:r>
          </w:p>
          <w:p w:rsidR="0076001D" w:rsidRDefault="0034129A">
            <w:pPr>
              <w:spacing w:after="0" w:line="259" w:lineRule="auto"/>
              <w:ind w:left="70" w:firstLine="0"/>
              <w:jc w:val="left"/>
            </w:pPr>
            <w:r>
              <w:rPr>
                <w:sz w:val="18"/>
              </w:rPr>
              <w:t xml:space="preserve">monitoreo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pPr>
            <w:r>
              <w:rPr>
                <w:sz w:val="18"/>
              </w:rPr>
              <w:t xml:space="preserve">De acuerdo a los lineamientos de </w:t>
            </w:r>
          </w:p>
          <w:p w:rsidR="0076001D" w:rsidRDefault="0034129A">
            <w:pPr>
              <w:spacing w:after="0" w:line="240" w:lineRule="auto"/>
              <w:ind w:left="68" w:right="49" w:firstLine="0"/>
            </w:pPr>
            <w:r>
              <w:rPr>
                <w:sz w:val="18"/>
              </w:rPr>
              <w:t xml:space="preserve">Gobierno Digital, debe dar cobertura a los equipos, sistemas de información y a los servicios TIC (numerales 88, 107 y 109 </w:t>
            </w:r>
            <w:proofErr w:type="spellStart"/>
            <w:r>
              <w:rPr>
                <w:sz w:val="18"/>
              </w:rPr>
              <w:t>Furag</w:t>
            </w:r>
            <w:proofErr w:type="spellEnd"/>
            <w:r>
              <w:rPr>
                <w:sz w:val="18"/>
              </w:rPr>
              <w:t xml:space="preserve">) y desarrollar los instrumentos en el marco de los dominios A12, A15 y A14 del MSPI, sin embargo, según lo reportado ha sido orientado a: </w:t>
            </w:r>
          </w:p>
          <w:p w:rsidR="0076001D" w:rsidRDefault="0034129A">
            <w:pPr>
              <w:spacing w:after="0" w:line="241" w:lineRule="auto"/>
              <w:ind w:left="68" w:right="52" w:firstLine="0"/>
            </w:pPr>
            <w:r>
              <w:rPr>
                <w:sz w:val="18"/>
              </w:rPr>
              <w:t xml:space="preserve">Plan de Mantenimiento y Monitoreo y el contrato de mantenimiento preventivo 105 del 2019. </w:t>
            </w:r>
          </w:p>
          <w:p w:rsidR="0076001D" w:rsidRDefault="0034129A">
            <w:pPr>
              <w:spacing w:after="2" w:line="239" w:lineRule="auto"/>
              <w:ind w:left="68" w:right="52" w:firstLine="0"/>
            </w:pPr>
            <w:r>
              <w:rPr>
                <w:sz w:val="18"/>
              </w:rPr>
              <w:t xml:space="preserve">No se relacionan los procedimientos elaborados a la fecha en el marco del MSPI. </w:t>
            </w:r>
          </w:p>
          <w:p w:rsidR="0076001D" w:rsidRDefault="0034129A">
            <w:pPr>
              <w:spacing w:after="0" w:line="259" w:lineRule="auto"/>
              <w:ind w:left="1" w:firstLine="0"/>
              <w:jc w:val="left"/>
            </w:pPr>
            <w:r>
              <w:rPr>
                <w:sz w:val="18"/>
              </w:rPr>
              <w:t xml:space="preserve"> </w:t>
            </w:r>
          </w:p>
          <w:p w:rsidR="0076001D" w:rsidRDefault="0034129A">
            <w:pPr>
              <w:spacing w:after="0" w:line="259" w:lineRule="auto"/>
              <w:ind w:left="68" w:firstLine="0"/>
            </w:pPr>
            <w:r>
              <w:rPr>
                <w:sz w:val="18"/>
              </w:rPr>
              <w:t xml:space="preserve">Las observaciones puntuales se emiten en el numeral 5.5.1 </w:t>
            </w:r>
          </w:p>
        </w:tc>
      </w:tr>
      <w:tr w:rsidR="0076001D">
        <w:trPr>
          <w:trHeight w:val="216"/>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tabs>
                <w:tab w:val="center" w:pos="1047"/>
                <w:tab w:val="center" w:pos="1594"/>
                <w:tab w:val="center" w:pos="2519"/>
                <w:tab w:val="right" w:pos="3525"/>
              </w:tabs>
              <w:spacing w:after="0" w:line="259" w:lineRule="auto"/>
              <w:ind w:left="0" w:firstLine="0"/>
              <w:jc w:val="left"/>
            </w:pPr>
            <w:r>
              <w:rPr>
                <w:sz w:val="18"/>
              </w:rPr>
              <w:lastRenderedPageBreak/>
              <w:t xml:space="preserve">Revisar </w:t>
            </w:r>
            <w:r>
              <w:rPr>
                <w:sz w:val="18"/>
              </w:rPr>
              <w:tab/>
              <w:t xml:space="preserve">el </w:t>
            </w:r>
            <w:r>
              <w:rPr>
                <w:sz w:val="18"/>
              </w:rPr>
              <w:tab/>
              <w:t xml:space="preserve">Plan </w:t>
            </w:r>
            <w:r>
              <w:rPr>
                <w:sz w:val="18"/>
              </w:rPr>
              <w:tab/>
              <w:t xml:space="preserve">Estratégico </w:t>
            </w:r>
            <w:r>
              <w:rPr>
                <w:sz w:val="18"/>
              </w:rPr>
              <w:tab/>
              <w:t xml:space="preserve">de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tabs>
                <w:tab w:val="center" w:pos="1406"/>
                <w:tab w:val="right" w:pos="2113"/>
              </w:tabs>
              <w:spacing w:after="0" w:line="259" w:lineRule="auto"/>
              <w:ind w:left="0" w:firstLine="0"/>
              <w:jc w:val="left"/>
            </w:pPr>
            <w:r>
              <w:rPr>
                <w:sz w:val="18"/>
              </w:rPr>
              <w:t xml:space="preserve">Formular, </w:t>
            </w:r>
            <w:r>
              <w:rPr>
                <w:sz w:val="18"/>
              </w:rPr>
              <w:tab/>
              <w:t xml:space="preserve">ejecutar </w:t>
            </w:r>
            <w:r>
              <w:rPr>
                <w:sz w:val="18"/>
              </w:rPr>
              <w:tab/>
              <w:t xml:space="preserve">y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tabs>
                <w:tab w:val="center" w:pos="700"/>
                <w:tab w:val="center" w:pos="1438"/>
                <w:tab w:val="center" w:pos="2099"/>
                <w:tab w:val="center" w:pos="2706"/>
                <w:tab w:val="right" w:pos="3505"/>
              </w:tabs>
              <w:spacing w:after="0" w:line="259" w:lineRule="auto"/>
              <w:ind w:left="0" w:firstLine="0"/>
              <w:jc w:val="left"/>
            </w:pPr>
            <w:r>
              <w:rPr>
                <w:sz w:val="18"/>
              </w:rPr>
              <w:t xml:space="preserve">En </w:t>
            </w:r>
            <w:r>
              <w:rPr>
                <w:sz w:val="18"/>
              </w:rPr>
              <w:tab/>
              <w:t xml:space="preserve">este </w:t>
            </w:r>
            <w:r>
              <w:rPr>
                <w:sz w:val="18"/>
              </w:rPr>
              <w:tab/>
              <w:t xml:space="preserve">numeral </w:t>
            </w:r>
            <w:r>
              <w:rPr>
                <w:sz w:val="18"/>
              </w:rPr>
              <w:tab/>
              <w:t xml:space="preserve">se </w:t>
            </w:r>
            <w:r>
              <w:rPr>
                <w:sz w:val="18"/>
              </w:rPr>
              <w:tab/>
              <w:t xml:space="preserve">emiten </w:t>
            </w:r>
            <w:r>
              <w:rPr>
                <w:sz w:val="18"/>
              </w:rPr>
              <w:tab/>
              <w:t xml:space="preserve">las </w:t>
            </w:r>
          </w:p>
        </w:tc>
      </w:tr>
    </w:tbl>
    <w:p w:rsidR="0076001D" w:rsidRDefault="0034129A">
      <w:pPr>
        <w:spacing w:after="0" w:line="259" w:lineRule="auto"/>
        <w:ind w:left="0" w:firstLine="0"/>
      </w:pPr>
      <w:r>
        <w:rPr>
          <w:rFonts w:ascii="Times New Roman" w:eastAsia="Times New Roman" w:hAnsi="Times New Roman" w:cs="Times New Roman"/>
        </w:rPr>
        <w:t xml:space="preserve"> </w:t>
      </w:r>
    </w:p>
    <w:tbl>
      <w:tblPr>
        <w:tblStyle w:val="TableGrid"/>
        <w:tblW w:w="9189" w:type="dxa"/>
        <w:tblInd w:w="479" w:type="dxa"/>
        <w:tblCellMar>
          <w:left w:w="4" w:type="dxa"/>
          <w:right w:w="11" w:type="dxa"/>
        </w:tblCellMar>
        <w:tblLook w:val="04A0" w:firstRow="1" w:lastRow="0" w:firstColumn="1" w:lastColumn="0" w:noHBand="0" w:noVBand="1"/>
      </w:tblPr>
      <w:tblGrid>
        <w:gridCol w:w="3541"/>
        <w:gridCol w:w="2128"/>
        <w:gridCol w:w="3520"/>
      </w:tblGrid>
      <w:tr w:rsidR="0076001D">
        <w:trPr>
          <w:trHeight w:val="468"/>
        </w:trPr>
        <w:tc>
          <w:tcPr>
            <w:tcW w:w="3540"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0" w:right="3" w:firstLine="0"/>
              <w:jc w:val="center"/>
            </w:pPr>
            <w:r>
              <w:rPr>
                <w:b/>
                <w:sz w:val="20"/>
              </w:rPr>
              <w:t xml:space="preserve">PLAN DE ACCION MIPG </w:t>
            </w:r>
          </w:p>
        </w:tc>
        <w:tc>
          <w:tcPr>
            <w:tcW w:w="2128"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0" w:firstLine="0"/>
              <w:jc w:val="center"/>
            </w:pPr>
            <w:r>
              <w:rPr>
                <w:b/>
                <w:sz w:val="20"/>
              </w:rPr>
              <w:t xml:space="preserve">PRESUNTA CORRELACION POA </w:t>
            </w:r>
          </w:p>
        </w:tc>
        <w:tc>
          <w:tcPr>
            <w:tcW w:w="3520"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9" w:firstLine="0"/>
              <w:jc w:val="center"/>
            </w:pPr>
            <w:r>
              <w:rPr>
                <w:b/>
                <w:sz w:val="20"/>
              </w:rPr>
              <w:t xml:space="preserve">OBSERVACION AUDITORIA </w:t>
            </w:r>
          </w:p>
        </w:tc>
      </w:tr>
      <w:tr w:rsidR="0076001D">
        <w:trPr>
          <w:trHeight w:val="3115"/>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0" w:lineRule="auto"/>
              <w:ind w:left="70" w:right="51" w:firstLine="0"/>
            </w:pPr>
            <w:r>
              <w:rPr>
                <w:sz w:val="18"/>
              </w:rPr>
              <w:t xml:space="preserve">Tecnologías de la Información y las comunicaciones PETI del IDEP para la vigencia 2020, específicamente el numeral 5.6 Gobierno de TI y 7.5 Proyectos a ejecutar en la vigencia 2020, así como los elementos requeridos por la política de Gobierno Digital según FURAG: Portafolio o mapa de ruta de los proyectos, proyección del presupuesto, entendimiento estratégico, análisis de la situación actual, plan de comunicaciones del PETI, tablero de indicadores para el seguimiento y control y la definición de la situación </w:t>
            </w:r>
          </w:p>
          <w:p w:rsidR="0076001D" w:rsidRDefault="0034129A">
            <w:pPr>
              <w:spacing w:after="0" w:line="259" w:lineRule="auto"/>
              <w:ind w:left="70" w:firstLine="0"/>
              <w:jc w:val="left"/>
            </w:pPr>
            <w:r>
              <w:rPr>
                <w:sz w:val="18"/>
              </w:rPr>
              <w:t xml:space="preserve">objetivo y modelo de gestión de </w:t>
            </w:r>
          </w:p>
          <w:p w:rsidR="0076001D" w:rsidRDefault="0034129A">
            <w:pPr>
              <w:spacing w:after="0" w:line="259" w:lineRule="auto"/>
              <w:ind w:left="70" w:firstLine="0"/>
              <w:jc w:val="left"/>
            </w:pPr>
            <w:r>
              <w:rPr>
                <w:sz w:val="18"/>
              </w:rPr>
              <w:t xml:space="preserve">TI. </w:t>
            </w:r>
          </w:p>
        </w:tc>
        <w:tc>
          <w:tcPr>
            <w:tcW w:w="2128"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hacer seguimiento del PETIC 2020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6" w:lineRule="auto"/>
              <w:ind w:left="68" w:right="50" w:firstLine="0"/>
            </w:pPr>
            <w:proofErr w:type="gramStart"/>
            <w:r>
              <w:rPr>
                <w:sz w:val="18"/>
              </w:rPr>
              <w:t>debilidades</w:t>
            </w:r>
            <w:proofErr w:type="gramEnd"/>
            <w:r>
              <w:rPr>
                <w:sz w:val="18"/>
              </w:rPr>
              <w:t xml:space="preserve"> encontradas en el documento “</w:t>
            </w:r>
            <w:r>
              <w:rPr>
                <w:i/>
                <w:sz w:val="18"/>
              </w:rPr>
              <w:t>PL-GT-12-01 PETIC V 19.pdf</w:t>
            </w:r>
            <w:r>
              <w:rPr>
                <w:sz w:val="18"/>
              </w:rPr>
              <w:t xml:space="preserve">” resultado del contrato 021 de 2020. </w:t>
            </w:r>
          </w:p>
          <w:p w:rsidR="0076001D" w:rsidRDefault="0034129A">
            <w:pPr>
              <w:spacing w:after="0" w:line="259" w:lineRule="auto"/>
              <w:ind w:left="1" w:firstLine="0"/>
              <w:jc w:val="left"/>
            </w:pPr>
            <w:r>
              <w:rPr>
                <w:rFonts w:ascii="Times New Roman" w:eastAsia="Times New Roman" w:hAnsi="Times New Roman" w:cs="Times New Roman"/>
                <w:sz w:val="17"/>
              </w:rPr>
              <w:t xml:space="preserve"> </w:t>
            </w:r>
          </w:p>
          <w:p w:rsidR="0076001D" w:rsidRDefault="0034129A">
            <w:pPr>
              <w:spacing w:after="0" w:line="259" w:lineRule="auto"/>
              <w:ind w:left="68" w:firstLine="0"/>
            </w:pPr>
            <w:r>
              <w:rPr>
                <w:sz w:val="18"/>
              </w:rPr>
              <w:t xml:space="preserve">Los reportes corresponden al avance en los procesos de contratación. </w:t>
            </w:r>
          </w:p>
        </w:tc>
      </w:tr>
      <w:tr w:rsidR="0076001D">
        <w:trPr>
          <w:trHeight w:val="1253"/>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54" w:firstLine="0"/>
            </w:pPr>
            <w:r>
              <w:rPr>
                <w:sz w:val="18"/>
              </w:rPr>
              <w:t xml:space="preserve">Presentar al Comité Institucional de Gestión y Desempeño la versión actualizada de PETI 2020 y los cronogramas de actividades para el logro de los proyectos a ejecutar en la vigencia 2020.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520" w:type="dxa"/>
            <w:vMerge w:val="restart"/>
            <w:tcBorders>
              <w:top w:val="single" w:sz="4" w:space="0" w:color="000000"/>
              <w:left w:val="single" w:sz="4" w:space="0" w:color="000000"/>
              <w:bottom w:val="nil"/>
              <w:right w:val="single" w:sz="4" w:space="0" w:color="000000"/>
            </w:tcBorders>
          </w:tcPr>
          <w:p w:rsidR="0076001D" w:rsidRDefault="0034129A">
            <w:pPr>
              <w:spacing w:after="0" w:line="241" w:lineRule="auto"/>
              <w:ind w:left="68" w:firstLine="0"/>
              <w:jc w:val="left"/>
            </w:pPr>
            <w:r>
              <w:rPr>
                <w:sz w:val="18"/>
              </w:rPr>
              <w:t xml:space="preserve">Se entregaron a la auditoría los siguientes planes que incluyan actividades, fechas y seguimiento: </w:t>
            </w:r>
          </w:p>
          <w:p w:rsidR="0076001D" w:rsidRDefault="0034129A">
            <w:pPr>
              <w:spacing w:after="0" w:line="259" w:lineRule="auto"/>
              <w:ind w:left="68" w:firstLine="0"/>
              <w:jc w:val="left"/>
            </w:pPr>
            <w:r>
              <w:rPr>
                <w:sz w:val="18"/>
              </w:rPr>
              <w:t xml:space="preserve">Plan Seguridad y Privacidad de la </w:t>
            </w:r>
            <w:proofErr w:type="spellStart"/>
            <w:r>
              <w:rPr>
                <w:sz w:val="18"/>
              </w:rPr>
              <w:t>Info</w:t>
            </w:r>
            <w:proofErr w:type="spellEnd"/>
            <w:r>
              <w:rPr>
                <w:sz w:val="18"/>
              </w:rPr>
              <w:t xml:space="preserve"> </w:t>
            </w:r>
          </w:p>
          <w:p w:rsidR="0076001D" w:rsidRDefault="0034129A">
            <w:pPr>
              <w:spacing w:after="0" w:line="259" w:lineRule="auto"/>
              <w:ind w:left="68" w:firstLine="0"/>
              <w:jc w:val="left"/>
            </w:pPr>
            <w:r>
              <w:rPr>
                <w:sz w:val="18"/>
              </w:rPr>
              <w:t xml:space="preserve">2020 Seguimiento II.xlsx, </w:t>
            </w:r>
          </w:p>
          <w:p w:rsidR="0076001D" w:rsidRDefault="0034129A">
            <w:pPr>
              <w:spacing w:after="0" w:line="259" w:lineRule="auto"/>
              <w:ind w:left="68" w:firstLine="0"/>
              <w:jc w:val="left"/>
            </w:pPr>
            <w:r>
              <w:rPr>
                <w:sz w:val="18"/>
              </w:rPr>
              <w:t xml:space="preserve">Plan Tratamiento de riesgos </w:t>
            </w:r>
            <w:proofErr w:type="spellStart"/>
            <w:r>
              <w:rPr>
                <w:sz w:val="18"/>
              </w:rPr>
              <w:t>info</w:t>
            </w:r>
            <w:proofErr w:type="spellEnd"/>
            <w:r>
              <w:rPr>
                <w:sz w:val="18"/>
              </w:rPr>
              <w:t xml:space="preserve"> 2020 </w:t>
            </w:r>
          </w:p>
          <w:p w:rsidR="0076001D" w:rsidRDefault="0034129A">
            <w:pPr>
              <w:spacing w:after="0" w:line="259" w:lineRule="auto"/>
              <w:ind w:left="68" w:firstLine="0"/>
              <w:jc w:val="left"/>
            </w:pPr>
            <w:r>
              <w:rPr>
                <w:sz w:val="18"/>
              </w:rPr>
              <w:t xml:space="preserve">Seguimiento II.xlsx, </w:t>
            </w:r>
          </w:p>
          <w:p w:rsidR="0076001D" w:rsidRDefault="0034129A">
            <w:pPr>
              <w:spacing w:after="0" w:line="259" w:lineRule="auto"/>
              <w:ind w:left="68" w:firstLine="0"/>
              <w:jc w:val="left"/>
            </w:pPr>
            <w:r>
              <w:rPr>
                <w:sz w:val="18"/>
              </w:rPr>
              <w:t xml:space="preserve">Plan de Trabajo Conectividad Final-IDEP </w:t>
            </w:r>
          </w:p>
        </w:tc>
      </w:tr>
      <w:tr w:rsidR="0076001D">
        <w:trPr>
          <w:trHeight w:val="411"/>
        </w:trPr>
        <w:tc>
          <w:tcPr>
            <w:tcW w:w="3540" w:type="dxa"/>
            <w:tcBorders>
              <w:top w:val="single" w:sz="4" w:space="0" w:color="000000"/>
              <w:left w:val="single" w:sz="4" w:space="0" w:color="000000"/>
              <w:bottom w:val="nil"/>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tc>
        <w:tc>
          <w:tcPr>
            <w:tcW w:w="2128" w:type="dxa"/>
            <w:tcBorders>
              <w:top w:val="single" w:sz="4" w:space="0" w:color="000000"/>
              <w:left w:val="single" w:sz="4" w:space="0" w:color="000000"/>
              <w:bottom w:val="nil"/>
              <w:right w:val="single" w:sz="4" w:space="0" w:color="000000"/>
            </w:tcBorders>
          </w:tcPr>
          <w:p w:rsidR="0076001D" w:rsidRDefault="0034129A">
            <w:pPr>
              <w:spacing w:after="0" w:line="259" w:lineRule="auto"/>
              <w:ind w:left="2" w:firstLine="0"/>
              <w:jc w:val="left"/>
            </w:pPr>
            <w:r>
              <w:rPr>
                <w:rFonts w:ascii="Times New Roman" w:eastAsia="Times New Roman" w:hAnsi="Times New Roman" w:cs="Times New Roman"/>
                <w:sz w:val="16"/>
              </w:rPr>
              <w:t xml:space="preserve">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1660"/>
        </w:trPr>
        <w:tc>
          <w:tcPr>
            <w:tcW w:w="3540" w:type="dxa"/>
            <w:tcBorders>
              <w:top w:val="nil"/>
              <w:left w:val="single" w:sz="4" w:space="0" w:color="000000"/>
              <w:bottom w:val="single" w:sz="4" w:space="0" w:color="000000"/>
              <w:right w:val="single" w:sz="4" w:space="0" w:color="000000"/>
            </w:tcBorders>
          </w:tcPr>
          <w:p w:rsidR="0076001D" w:rsidRDefault="0034129A">
            <w:pPr>
              <w:spacing w:after="0" w:line="259" w:lineRule="auto"/>
              <w:ind w:left="70" w:right="55" w:firstLine="0"/>
            </w:pPr>
            <w:r>
              <w:rPr>
                <w:sz w:val="18"/>
              </w:rPr>
              <w:t xml:space="preserve">Ejecutar en las fechas programadas los cronogramas de los proyectos a ejecutar en la vigencia en el marco del PETI 2020 y presentar trimestralmente el avance correspondiente al Comité Institucional de Gestión y Desempeño. </w:t>
            </w:r>
          </w:p>
        </w:tc>
        <w:tc>
          <w:tcPr>
            <w:tcW w:w="2128" w:type="dxa"/>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520" w:type="dxa"/>
            <w:tcBorders>
              <w:top w:val="nil"/>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18"/>
              </w:rPr>
              <w:t xml:space="preserve">(26-06-2020).pdf </w:t>
            </w:r>
          </w:p>
          <w:p w:rsidR="0076001D" w:rsidRDefault="0034129A">
            <w:pPr>
              <w:spacing w:after="0" w:line="259" w:lineRule="auto"/>
              <w:ind w:left="1" w:firstLine="0"/>
              <w:jc w:val="left"/>
            </w:pPr>
            <w:r>
              <w:rPr>
                <w:rFonts w:ascii="Times New Roman" w:eastAsia="Times New Roman" w:hAnsi="Times New Roman" w:cs="Times New Roman"/>
                <w:sz w:val="17"/>
              </w:rPr>
              <w:t xml:space="preserve"> </w:t>
            </w:r>
          </w:p>
          <w:p w:rsidR="0076001D" w:rsidRDefault="0034129A">
            <w:pPr>
              <w:spacing w:after="0" w:line="240" w:lineRule="auto"/>
              <w:ind w:left="68" w:firstLine="0"/>
              <w:jc w:val="left"/>
            </w:pPr>
            <w:r>
              <w:rPr>
                <w:sz w:val="18"/>
              </w:rPr>
              <w:t xml:space="preserve">Ninguno de ellos corresponde a un cronograma de las actividades puntuales para atender los 5 proyectos planteados en el PETI. </w:t>
            </w:r>
          </w:p>
          <w:p w:rsidR="0076001D" w:rsidRDefault="0034129A">
            <w:pPr>
              <w:spacing w:after="0" w:line="259" w:lineRule="auto"/>
              <w:ind w:left="68" w:firstLine="0"/>
            </w:pPr>
            <w:r>
              <w:rPr>
                <w:sz w:val="18"/>
              </w:rPr>
              <w:t xml:space="preserve">En el seguimiento se reportan Actas de avance, pero no cronogramas. </w:t>
            </w:r>
          </w:p>
        </w:tc>
      </w:tr>
      <w:tr w:rsidR="0076001D">
        <w:trPr>
          <w:trHeight w:val="1044"/>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56" w:firstLine="0"/>
            </w:pPr>
            <w:r>
              <w:rPr>
                <w:sz w:val="18"/>
              </w:rPr>
              <w:t xml:space="preserve">Revisar el Plan de Seguridad y Privacidad de la Información formulado para la vigencia 2020 y asignar los responsables y fechas necesarias para el logro de dicho plan. </w:t>
            </w:r>
          </w:p>
        </w:tc>
        <w:tc>
          <w:tcPr>
            <w:tcW w:w="2128"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2" w:line="240" w:lineRule="auto"/>
              <w:ind w:left="70" w:right="53" w:firstLine="0"/>
            </w:pPr>
            <w:r>
              <w:rPr>
                <w:sz w:val="18"/>
              </w:rPr>
              <w:t xml:space="preserve">Formular, ejecutar y hacer seguimiento del Plan de Seguridad y privacidad de la información. </w:t>
            </w:r>
          </w:p>
          <w:p w:rsidR="0076001D" w:rsidRDefault="0034129A">
            <w:pPr>
              <w:spacing w:after="0" w:line="259" w:lineRule="auto"/>
              <w:ind w:left="2" w:firstLine="0"/>
              <w:jc w:val="left"/>
            </w:pPr>
            <w:r>
              <w:rPr>
                <w:rFonts w:ascii="Times New Roman" w:eastAsia="Times New Roman" w:hAnsi="Times New Roman" w:cs="Times New Roman"/>
                <w:sz w:val="17"/>
              </w:rPr>
              <w:t xml:space="preserve"> </w:t>
            </w:r>
          </w:p>
          <w:p w:rsidR="0076001D" w:rsidRDefault="0034129A">
            <w:pPr>
              <w:spacing w:after="0" w:line="243" w:lineRule="auto"/>
              <w:ind w:left="70" w:firstLine="0"/>
              <w:jc w:val="left"/>
            </w:pPr>
            <w:r>
              <w:rPr>
                <w:sz w:val="18"/>
              </w:rPr>
              <w:t xml:space="preserve">Realizar  acciones </w:t>
            </w:r>
            <w:r>
              <w:rPr>
                <w:sz w:val="18"/>
              </w:rPr>
              <w:tab/>
              <w:t xml:space="preserve">de sensibilización, socialización y control </w:t>
            </w:r>
          </w:p>
          <w:p w:rsidR="0076001D" w:rsidRDefault="0034129A">
            <w:pPr>
              <w:spacing w:after="0" w:line="239" w:lineRule="auto"/>
              <w:ind w:left="70" w:firstLine="0"/>
            </w:pPr>
            <w:r>
              <w:rPr>
                <w:sz w:val="18"/>
              </w:rPr>
              <w:t xml:space="preserve">para promover  la seguridad  de  la </w:t>
            </w:r>
          </w:p>
          <w:p w:rsidR="0076001D" w:rsidRDefault="0034129A">
            <w:pPr>
              <w:spacing w:after="0" w:line="259" w:lineRule="auto"/>
              <w:ind w:left="70" w:firstLine="0"/>
              <w:jc w:val="left"/>
            </w:pPr>
            <w:r>
              <w:rPr>
                <w:sz w:val="18"/>
              </w:rPr>
              <w:t xml:space="preserve">información </w:t>
            </w:r>
          </w:p>
        </w:tc>
        <w:tc>
          <w:tcPr>
            <w:tcW w:w="3520"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2" w:line="240" w:lineRule="auto"/>
              <w:ind w:left="68" w:right="51" w:firstLine="0"/>
            </w:pPr>
            <w:r>
              <w:rPr>
                <w:sz w:val="18"/>
              </w:rPr>
              <w:t xml:space="preserve">El plan entregado a la auditoría Plan Seguridad y Privacidad de la </w:t>
            </w:r>
            <w:proofErr w:type="spellStart"/>
            <w:r>
              <w:rPr>
                <w:sz w:val="18"/>
              </w:rPr>
              <w:t>Info</w:t>
            </w:r>
            <w:proofErr w:type="spellEnd"/>
            <w:r>
              <w:rPr>
                <w:sz w:val="18"/>
              </w:rPr>
              <w:t xml:space="preserve"> 2020 Seguimiento II.xlsx, no da cobertura a lo requerido para la implementación del MSPI. </w:t>
            </w:r>
          </w:p>
          <w:p w:rsidR="0076001D" w:rsidRDefault="0034129A">
            <w:pPr>
              <w:spacing w:after="0" w:line="259" w:lineRule="auto"/>
              <w:ind w:left="1" w:firstLine="0"/>
              <w:jc w:val="left"/>
            </w:pPr>
            <w:r>
              <w:rPr>
                <w:rFonts w:ascii="Times New Roman" w:eastAsia="Times New Roman" w:hAnsi="Times New Roman" w:cs="Times New Roman"/>
                <w:sz w:val="17"/>
              </w:rPr>
              <w:t xml:space="preserve"> </w:t>
            </w:r>
          </w:p>
          <w:p w:rsidR="0076001D" w:rsidRDefault="0034129A">
            <w:pPr>
              <w:spacing w:after="0" w:line="259" w:lineRule="auto"/>
              <w:ind w:left="68" w:firstLine="0"/>
            </w:pPr>
            <w:r>
              <w:rPr>
                <w:sz w:val="18"/>
              </w:rPr>
              <w:t xml:space="preserve">Las observaciones puntuales se emiten en el numeral 5.1.4 </w:t>
            </w:r>
          </w:p>
        </w:tc>
      </w:tr>
      <w:tr w:rsidR="0076001D">
        <w:trPr>
          <w:trHeight w:val="1460"/>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Ejecutar las actividades programadas en el Plan de Seguridad y Privacidad de la Información, en las fechas definidas para la vigencia 2020 y presentar trimestralmente  </w:t>
            </w:r>
            <w:r>
              <w:rPr>
                <w:sz w:val="18"/>
              </w:rPr>
              <w:tab/>
              <w:t xml:space="preserve">el </w:t>
            </w:r>
            <w:r>
              <w:rPr>
                <w:sz w:val="18"/>
              </w:rPr>
              <w:tab/>
              <w:t xml:space="preserve">avance correspondiente al Comité Institucional de Gestión y Desempeño.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1044"/>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70" w:right="54" w:firstLine="0"/>
            </w:pPr>
            <w:r>
              <w:rPr>
                <w:sz w:val="18"/>
              </w:rPr>
              <w:t xml:space="preserve">Revisar el Plan de Tratamiento de Riesgos de Seguridad y Privacidad de la Información formulado para la vigencia </w:t>
            </w:r>
          </w:p>
          <w:p w:rsidR="0076001D" w:rsidRDefault="0034129A">
            <w:pPr>
              <w:spacing w:after="0" w:line="259" w:lineRule="auto"/>
              <w:ind w:left="70" w:firstLine="0"/>
            </w:pPr>
            <w:r>
              <w:rPr>
                <w:sz w:val="18"/>
              </w:rPr>
              <w:t xml:space="preserve">2020 y asignar los responsables y fechas necesarios para el logro de dicho plan. </w:t>
            </w:r>
          </w:p>
        </w:tc>
        <w:tc>
          <w:tcPr>
            <w:tcW w:w="2128"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 w:firstLine="0"/>
              <w:jc w:val="left"/>
            </w:pPr>
            <w:r>
              <w:rPr>
                <w:rFonts w:ascii="Times New Roman" w:eastAsia="Times New Roman" w:hAnsi="Times New Roman" w:cs="Times New Roman"/>
                <w:sz w:val="20"/>
              </w:rPr>
              <w:t xml:space="preserve"> </w:t>
            </w:r>
          </w:p>
          <w:p w:rsidR="0076001D" w:rsidRDefault="0034129A">
            <w:pPr>
              <w:spacing w:after="128" w:line="259" w:lineRule="auto"/>
              <w:ind w:left="2" w:firstLine="0"/>
              <w:jc w:val="left"/>
            </w:pPr>
            <w:r>
              <w:rPr>
                <w:rFonts w:ascii="Times New Roman" w:eastAsia="Times New Roman" w:hAnsi="Times New Roman" w:cs="Times New Roman"/>
                <w:sz w:val="20"/>
              </w:rPr>
              <w:t xml:space="preserve"> </w:t>
            </w:r>
          </w:p>
          <w:p w:rsidR="0076001D" w:rsidRDefault="0034129A">
            <w:pPr>
              <w:spacing w:after="0" w:line="240" w:lineRule="auto"/>
              <w:ind w:left="70" w:right="51" w:firstLine="0"/>
            </w:pPr>
            <w:r>
              <w:rPr>
                <w:sz w:val="18"/>
              </w:rPr>
              <w:lastRenderedPageBreak/>
              <w:t xml:space="preserve">Formular, ejecutar y hacer seguimiento del Plan de tratamiento de riesgos de seguridad y privacidad de la </w:t>
            </w:r>
          </w:p>
          <w:p w:rsidR="0076001D" w:rsidRDefault="0034129A">
            <w:pPr>
              <w:spacing w:after="0" w:line="259" w:lineRule="auto"/>
              <w:ind w:left="70" w:firstLine="0"/>
              <w:jc w:val="left"/>
            </w:pPr>
            <w:r>
              <w:rPr>
                <w:sz w:val="18"/>
              </w:rPr>
              <w:t xml:space="preserve">información 2020 </w:t>
            </w:r>
          </w:p>
        </w:tc>
        <w:tc>
          <w:tcPr>
            <w:tcW w:w="3520"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42" w:lineRule="auto"/>
              <w:ind w:left="68" w:firstLine="0"/>
            </w:pPr>
            <w:r>
              <w:rPr>
                <w:sz w:val="18"/>
              </w:rPr>
              <w:lastRenderedPageBreak/>
              <w:t xml:space="preserve">El plan entregado a la auditoría Plan Tratamiento de riesgos </w:t>
            </w:r>
            <w:proofErr w:type="spellStart"/>
            <w:r>
              <w:rPr>
                <w:sz w:val="18"/>
              </w:rPr>
              <w:t>info</w:t>
            </w:r>
            <w:proofErr w:type="spellEnd"/>
            <w:r>
              <w:rPr>
                <w:sz w:val="18"/>
              </w:rPr>
              <w:t xml:space="preserve"> 2020 </w:t>
            </w:r>
          </w:p>
          <w:p w:rsidR="0076001D" w:rsidRDefault="0034129A">
            <w:pPr>
              <w:spacing w:after="2" w:line="239" w:lineRule="auto"/>
              <w:ind w:left="68" w:right="51" w:firstLine="0"/>
            </w:pPr>
            <w:r>
              <w:rPr>
                <w:sz w:val="18"/>
              </w:rPr>
              <w:t xml:space="preserve">Seguimiento II.xlsx, no da cobertura a lo requerido para la implementación del MSPI. </w:t>
            </w:r>
          </w:p>
          <w:p w:rsidR="0076001D" w:rsidRDefault="0034129A">
            <w:pPr>
              <w:spacing w:after="0" w:line="259" w:lineRule="auto"/>
              <w:ind w:left="68" w:firstLine="0"/>
            </w:pPr>
            <w:r>
              <w:rPr>
                <w:sz w:val="18"/>
              </w:rPr>
              <w:lastRenderedPageBreak/>
              <w:t xml:space="preserve">Las observaciones puntuales se emiten en el numeral 5.1.3 </w:t>
            </w:r>
          </w:p>
        </w:tc>
      </w:tr>
      <w:tr w:rsidR="0076001D">
        <w:trPr>
          <w:trHeight w:val="1459"/>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0" w:lineRule="auto"/>
              <w:ind w:left="70" w:right="49" w:firstLine="0"/>
            </w:pPr>
            <w:r>
              <w:rPr>
                <w:sz w:val="18"/>
              </w:rPr>
              <w:lastRenderedPageBreak/>
              <w:t xml:space="preserve">Ejecutar las actividades programadas en el Plan de Tratamiento de Riesgos de Seguridad y Privacidad de la Información, en las fechas definidas para la vigencia 2020 y presentar trimestralmente el avance correspondiente al Comité </w:t>
            </w:r>
          </w:p>
          <w:p w:rsidR="0076001D" w:rsidRDefault="0034129A">
            <w:pPr>
              <w:spacing w:after="0" w:line="259" w:lineRule="auto"/>
              <w:ind w:left="70" w:firstLine="0"/>
              <w:jc w:val="left"/>
            </w:pPr>
            <w:r>
              <w:rPr>
                <w:sz w:val="18"/>
              </w:rPr>
              <w:t xml:space="preserve">Institucional de Gestión y Desempeño.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216"/>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32" w:firstLine="0"/>
              <w:jc w:val="left"/>
            </w:pPr>
            <w:r>
              <w:rPr>
                <w:sz w:val="18"/>
              </w:rPr>
              <w:t xml:space="preserve">Ejecutar el seguimiento a los indicadores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tabs>
                <w:tab w:val="center" w:pos="1275"/>
                <w:tab w:val="right" w:pos="2114"/>
              </w:tabs>
              <w:spacing w:after="0" w:line="259" w:lineRule="auto"/>
              <w:ind w:left="0" w:firstLine="0"/>
              <w:jc w:val="left"/>
            </w:pPr>
            <w:r>
              <w:rPr>
                <w:sz w:val="18"/>
              </w:rPr>
              <w:t xml:space="preserve">Realizar </w:t>
            </w:r>
            <w:r>
              <w:rPr>
                <w:sz w:val="18"/>
              </w:rPr>
              <w:tab/>
              <w:t xml:space="preserve">análisis </w:t>
            </w:r>
            <w:r>
              <w:rPr>
                <w:sz w:val="18"/>
              </w:rPr>
              <w:tab/>
              <w:t xml:space="preserve">del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31" w:firstLine="0"/>
              <w:jc w:val="left"/>
            </w:pPr>
            <w:r>
              <w:rPr>
                <w:sz w:val="18"/>
              </w:rPr>
              <w:t xml:space="preserve">Las observaciones sobre los indicadores </w:t>
            </w:r>
          </w:p>
        </w:tc>
      </w:tr>
    </w:tbl>
    <w:p w:rsidR="0076001D" w:rsidRDefault="0034129A">
      <w:pPr>
        <w:spacing w:after="0" w:line="259" w:lineRule="auto"/>
        <w:ind w:left="0" w:firstLine="0"/>
      </w:pPr>
      <w:r>
        <w:rPr>
          <w:rFonts w:ascii="Times New Roman" w:eastAsia="Times New Roman" w:hAnsi="Times New Roman" w:cs="Times New Roman"/>
        </w:rPr>
        <w:t xml:space="preserve"> </w:t>
      </w:r>
    </w:p>
    <w:tbl>
      <w:tblPr>
        <w:tblStyle w:val="TableGrid"/>
        <w:tblW w:w="9189" w:type="dxa"/>
        <w:tblInd w:w="479" w:type="dxa"/>
        <w:tblCellMar>
          <w:top w:w="6" w:type="dxa"/>
          <w:left w:w="4" w:type="dxa"/>
          <w:right w:w="9" w:type="dxa"/>
        </w:tblCellMar>
        <w:tblLook w:val="04A0" w:firstRow="1" w:lastRow="0" w:firstColumn="1" w:lastColumn="0" w:noHBand="0" w:noVBand="1"/>
      </w:tblPr>
      <w:tblGrid>
        <w:gridCol w:w="3541"/>
        <w:gridCol w:w="2128"/>
        <w:gridCol w:w="3520"/>
      </w:tblGrid>
      <w:tr w:rsidR="0076001D">
        <w:trPr>
          <w:trHeight w:val="468"/>
        </w:trPr>
        <w:tc>
          <w:tcPr>
            <w:tcW w:w="3540"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5" w:firstLine="0"/>
              <w:jc w:val="center"/>
            </w:pPr>
            <w:r>
              <w:rPr>
                <w:b/>
                <w:sz w:val="20"/>
              </w:rPr>
              <w:t xml:space="preserve">PLAN DE ACCION MIPG </w:t>
            </w:r>
          </w:p>
        </w:tc>
        <w:tc>
          <w:tcPr>
            <w:tcW w:w="2128"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0" w:firstLine="0"/>
              <w:jc w:val="center"/>
            </w:pPr>
            <w:r>
              <w:rPr>
                <w:b/>
                <w:sz w:val="20"/>
              </w:rPr>
              <w:t xml:space="preserve">PRESUNTA CORRELACION POA </w:t>
            </w:r>
          </w:p>
        </w:tc>
        <w:tc>
          <w:tcPr>
            <w:tcW w:w="3520" w:type="dxa"/>
            <w:tcBorders>
              <w:top w:val="single" w:sz="4" w:space="0" w:color="000000"/>
              <w:left w:val="single" w:sz="4" w:space="0" w:color="000000"/>
              <w:bottom w:val="single" w:sz="4" w:space="0" w:color="000000"/>
              <w:right w:val="single" w:sz="4" w:space="0" w:color="000000"/>
            </w:tcBorders>
            <w:shd w:val="clear" w:color="auto" w:fill="D9E1F3"/>
          </w:tcPr>
          <w:p w:rsidR="0076001D" w:rsidRDefault="0034129A">
            <w:pPr>
              <w:spacing w:after="0" w:line="259" w:lineRule="auto"/>
              <w:ind w:left="12" w:firstLine="0"/>
              <w:jc w:val="center"/>
            </w:pPr>
            <w:r>
              <w:rPr>
                <w:b/>
                <w:sz w:val="20"/>
              </w:rPr>
              <w:t xml:space="preserve">OBSERVACION AUDITORIA </w:t>
            </w:r>
          </w:p>
        </w:tc>
      </w:tr>
      <w:tr w:rsidR="0076001D">
        <w:trPr>
          <w:trHeight w:val="1252"/>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de gestión por procesos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53" w:firstLine="0"/>
              <w:jc w:val="left"/>
            </w:pPr>
            <w:proofErr w:type="gramStart"/>
            <w:r>
              <w:rPr>
                <w:sz w:val="18"/>
              </w:rPr>
              <w:t>cumplimiento</w:t>
            </w:r>
            <w:proofErr w:type="gramEnd"/>
            <w:r>
              <w:rPr>
                <w:sz w:val="18"/>
              </w:rPr>
              <w:t xml:space="preserve"> </w:t>
            </w:r>
            <w:r>
              <w:rPr>
                <w:sz w:val="18"/>
              </w:rPr>
              <w:tab/>
              <w:t xml:space="preserve">de </w:t>
            </w:r>
            <w:r>
              <w:rPr>
                <w:sz w:val="18"/>
              </w:rPr>
              <w:tab/>
              <w:t xml:space="preserve">los indicadores de gestión por proceso  del trimestre anterior </w:t>
            </w:r>
            <w:r>
              <w:rPr>
                <w:sz w:val="18"/>
              </w:rPr>
              <w:tab/>
              <w:t xml:space="preserve">y </w:t>
            </w:r>
            <w:r>
              <w:rPr>
                <w:sz w:val="18"/>
              </w:rPr>
              <w:tab/>
              <w:t xml:space="preserve">presentar resultados en comité directivo.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0" w:lineRule="auto"/>
              <w:ind w:left="68" w:right="52" w:firstLine="0"/>
            </w:pPr>
            <w:r>
              <w:rPr>
                <w:sz w:val="18"/>
              </w:rPr>
              <w:t xml:space="preserve">TIC se emiten </w:t>
            </w:r>
            <w:proofErr w:type="spellStart"/>
            <w:r>
              <w:rPr>
                <w:sz w:val="18"/>
              </w:rPr>
              <w:t>mas</w:t>
            </w:r>
            <w:proofErr w:type="spellEnd"/>
            <w:r>
              <w:rPr>
                <w:sz w:val="18"/>
              </w:rPr>
              <w:t xml:space="preserve"> adelante en este numeral, pero en términos generales no dan cobertura a los lineamientos de evaluación y seguimiento de Gobierno </w:t>
            </w:r>
          </w:p>
          <w:p w:rsidR="0076001D" w:rsidRDefault="0034129A">
            <w:pPr>
              <w:spacing w:after="0" w:line="259" w:lineRule="auto"/>
              <w:ind w:left="68" w:firstLine="0"/>
              <w:jc w:val="left"/>
            </w:pPr>
            <w:r>
              <w:rPr>
                <w:sz w:val="18"/>
              </w:rPr>
              <w:t xml:space="preserve">Digital. </w:t>
            </w:r>
          </w:p>
        </w:tc>
      </w:tr>
      <w:tr w:rsidR="0076001D">
        <w:trPr>
          <w:trHeight w:val="1875"/>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8"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70" w:right="57" w:firstLine="0"/>
              <w:jc w:val="left"/>
            </w:pPr>
            <w:r>
              <w:rPr>
                <w:sz w:val="18"/>
              </w:rPr>
              <w:t xml:space="preserve">Ejecutar el seguimiento a Mapas de riesgo institucionales y de corrupción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54" w:firstLine="0"/>
            </w:pPr>
            <w:r>
              <w:rPr>
                <w:sz w:val="18"/>
              </w:rPr>
              <w:t xml:space="preserve">Realizar análisis del comportamiento del mapa de riesgos de la entidad, determinando el % de materialización de los riesgos, del trimestre anterior     y     presentar resultados en comité directivo.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0" w:lineRule="auto"/>
              <w:ind w:left="68" w:right="52" w:firstLine="0"/>
            </w:pPr>
            <w:r>
              <w:rPr>
                <w:sz w:val="18"/>
              </w:rPr>
              <w:t xml:space="preserve">Los riesgos identificados no  dan cobertura a lo establecido en Gobierno Digital y más explícitamente en el MSPI, no están articulados con los activos de información ni con los controles de la norma ISO </w:t>
            </w:r>
          </w:p>
          <w:p w:rsidR="0076001D" w:rsidRDefault="0034129A">
            <w:pPr>
              <w:spacing w:after="0" w:line="259" w:lineRule="auto"/>
              <w:ind w:left="68" w:firstLine="0"/>
              <w:jc w:val="left"/>
            </w:pPr>
            <w:r>
              <w:rPr>
                <w:sz w:val="18"/>
              </w:rPr>
              <w:t xml:space="preserve">27001:2013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8" w:firstLine="0"/>
            </w:pPr>
            <w:r>
              <w:rPr>
                <w:sz w:val="18"/>
              </w:rPr>
              <w:t xml:space="preserve">Se emiten las observaciones  puntuales en el numeral 5.1.3 </w:t>
            </w:r>
          </w:p>
        </w:tc>
      </w:tr>
      <w:tr w:rsidR="0076001D">
        <w:trPr>
          <w:trHeight w:val="1459"/>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7"/>
              </w:rPr>
              <w:t xml:space="preserve"> </w:t>
            </w:r>
          </w:p>
          <w:p w:rsidR="0076001D" w:rsidRDefault="0034129A">
            <w:pPr>
              <w:spacing w:after="0" w:line="259" w:lineRule="auto"/>
              <w:ind w:left="70" w:right="53" w:firstLine="0"/>
            </w:pPr>
            <w:r>
              <w:rPr>
                <w:sz w:val="18"/>
              </w:rPr>
              <w:t xml:space="preserve">Formular y ejecutar el cronograma necesario para adoptar el protocolo IPV6 antes del 31 de diciembre de 2020, para dar cumplimiento a la Resolución 2710 de 2017 de </w:t>
            </w:r>
            <w:proofErr w:type="spellStart"/>
            <w:r>
              <w:rPr>
                <w:sz w:val="18"/>
              </w:rPr>
              <w:t>MinTic</w:t>
            </w:r>
            <w:proofErr w:type="spellEnd"/>
            <w:r>
              <w:rPr>
                <w:sz w:val="18"/>
              </w:rPr>
              <w:t xml:space="preserve">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spacing w:after="27" w:line="259" w:lineRule="auto"/>
              <w:ind w:left="2" w:firstLine="0"/>
              <w:jc w:val="left"/>
            </w:pPr>
            <w:r>
              <w:rPr>
                <w:rFonts w:ascii="Times New Roman" w:eastAsia="Times New Roman" w:hAnsi="Times New Roman" w:cs="Times New Roman"/>
                <w:sz w:val="20"/>
              </w:rPr>
              <w:t xml:space="preserve"> </w:t>
            </w:r>
          </w:p>
          <w:p w:rsidR="0076001D" w:rsidRDefault="0034129A">
            <w:pPr>
              <w:spacing w:after="0" w:line="259" w:lineRule="auto"/>
              <w:ind w:left="2" w:firstLine="0"/>
              <w:jc w:val="left"/>
            </w:pPr>
            <w:r>
              <w:rPr>
                <w:rFonts w:ascii="Times New Roman" w:eastAsia="Times New Roman" w:hAnsi="Times New Roman" w:cs="Times New Roman"/>
                <w:sz w:val="24"/>
              </w:rPr>
              <w:t xml:space="preserve"> </w:t>
            </w:r>
          </w:p>
          <w:p w:rsidR="0076001D" w:rsidRDefault="0034129A">
            <w:pPr>
              <w:spacing w:after="0" w:line="259" w:lineRule="auto"/>
              <w:ind w:left="70" w:firstLine="0"/>
            </w:pPr>
            <w:r>
              <w:rPr>
                <w:sz w:val="18"/>
              </w:rPr>
              <w:t xml:space="preserve">No hay correlación en el </w:t>
            </w:r>
          </w:p>
          <w:p w:rsidR="0076001D" w:rsidRDefault="0034129A">
            <w:pPr>
              <w:spacing w:after="0" w:line="259" w:lineRule="auto"/>
              <w:ind w:left="70" w:firstLine="0"/>
              <w:jc w:val="left"/>
            </w:pPr>
            <w:r>
              <w:rPr>
                <w:sz w:val="18"/>
              </w:rPr>
              <w:t xml:space="preserve">POA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68" w:right="52" w:firstLine="0"/>
            </w:pPr>
            <w:r>
              <w:rPr>
                <w:sz w:val="18"/>
              </w:rPr>
              <w:t xml:space="preserve">Con respecto a este proyecto, se incluye correctamente el plan de implementación en el anexo técnico del contrato 53 de </w:t>
            </w:r>
          </w:p>
          <w:p w:rsidR="0076001D" w:rsidRDefault="0034129A">
            <w:pPr>
              <w:spacing w:after="0" w:line="259" w:lineRule="auto"/>
              <w:ind w:left="68" w:firstLine="0"/>
              <w:jc w:val="left"/>
            </w:pPr>
            <w:r>
              <w:rPr>
                <w:sz w:val="18"/>
              </w:rPr>
              <w:t xml:space="preserve">2020 </w:t>
            </w:r>
          </w:p>
          <w:p w:rsidR="0076001D" w:rsidRDefault="0034129A">
            <w:pPr>
              <w:spacing w:after="0" w:line="259" w:lineRule="auto"/>
              <w:ind w:left="68" w:right="55" w:firstLine="0"/>
            </w:pPr>
            <w:r>
              <w:rPr>
                <w:sz w:val="18"/>
              </w:rPr>
              <w:t xml:space="preserve">La actividad general </w:t>
            </w:r>
            <w:proofErr w:type="spellStart"/>
            <w:r>
              <w:rPr>
                <w:sz w:val="18"/>
              </w:rPr>
              <w:t>esta</w:t>
            </w:r>
            <w:proofErr w:type="spellEnd"/>
            <w:r>
              <w:rPr>
                <w:sz w:val="18"/>
              </w:rPr>
              <w:t xml:space="preserve"> incluida en el Plan de seguridad y Privacidad de la Información. </w:t>
            </w:r>
          </w:p>
        </w:tc>
      </w:tr>
      <w:tr w:rsidR="0076001D">
        <w:trPr>
          <w:trHeight w:val="1872"/>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8"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70" w:firstLine="0"/>
              <w:jc w:val="left"/>
            </w:pPr>
            <w:r>
              <w:rPr>
                <w:sz w:val="18"/>
              </w:rPr>
              <w:t xml:space="preserve">No hay correlación en el Plan de Acción MIPG.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 w:firstLine="0"/>
              <w:jc w:val="left"/>
            </w:pPr>
            <w:r>
              <w:rPr>
                <w:rFonts w:ascii="Times New Roman" w:eastAsia="Times New Roman" w:hAnsi="Times New Roman" w:cs="Times New Roman"/>
                <w:sz w:val="26"/>
              </w:rPr>
              <w:t xml:space="preserve"> </w:t>
            </w:r>
          </w:p>
          <w:p w:rsidR="0076001D" w:rsidRDefault="0034129A">
            <w:pPr>
              <w:spacing w:after="0" w:line="259" w:lineRule="auto"/>
              <w:ind w:left="70" w:firstLine="0"/>
              <w:jc w:val="left"/>
            </w:pPr>
            <w:r>
              <w:rPr>
                <w:sz w:val="18"/>
              </w:rPr>
              <w:t xml:space="preserve">Gestionar </w:t>
            </w:r>
          </w:p>
          <w:p w:rsidR="0076001D" w:rsidRDefault="0034129A">
            <w:pPr>
              <w:tabs>
                <w:tab w:val="right" w:pos="2116"/>
              </w:tabs>
              <w:spacing w:after="0" w:line="259" w:lineRule="auto"/>
              <w:ind w:left="0" w:firstLine="0"/>
              <w:jc w:val="left"/>
            </w:pPr>
            <w:r>
              <w:rPr>
                <w:sz w:val="18"/>
              </w:rPr>
              <w:t xml:space="preserve">oportunamente </w:t>
            </w:r>
            <w:r>
              <w:rPr>
                <w:sz w:val="18"/>
              </w:rPr>
              <w:tab/>
              <w:t xml:space="preserve">las </w:t>
            </w:r>
          </w:p>
          <w:p w:rsidR="0076001D" w:rsidRDefault="0034129A">
            <w:pPr>
              <w:spacing w:after="0" w:line="259" w:lineRule="auto"/>
              <w:ind w:left="70" w:firstLine="0"/>
              <w:jc w:val="left"/>
            </w:pPr>
            <w:proofErr w:type="gramStart"/>
            <w:r>
              <w:rPr>
                <w:sz w:val="18"/>
              </w:rPr>
              <w:t>solicitudes</w:t>
            </w:r>
            <w:proofErr w:type="gramEnd"/>
            <w:r>
              <w:rPr>
                <w:sz w:val="18"/>
              </w:rPr>
              <w:t xml:space="preserve"> de creación, modificación o anulación de la documentación del SIG.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right="50" w:firstLine="0"/>
            </w:pPr>
            <w:r>
              <w:rPr>
                <w:sz w:val="18"/>
              </w:rPr>
              <w:t xml:space="preserve">La actividad de articulación del SGSI con el SIG, no está incluida en el Plan de seguridad y Privacidad de la información, ni en el Plan de Acción MIPG para la atención de las políticas de gobierno Digital y Seguridad Digital, pese a que el MSPI requiere en su implementación la articulación entre elementos ISO 9001 impactados por ISO 27001. </w:t>
            </w:r>
          </w:p>
        </w:tc>
      </w:tr>
      <w:tr w:rsidR="0076001D">
        <w:trPr>
          <w:trHeight w:val="2081"/>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99"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70" w:firstLine="0"/>
              <w:jc w:val="left"/>
            </w:pPr>
            <w:r>
              <w:rPr>
                <w:sz w:val="18"/>
              </w:rPr>
              <w:t xml:space="preserve">No hay correlación en el Plan de Acción MIPG.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 w:firstLine="0"/>
              <w:jc w:val="left"/>
            </w:pPr>
            <w:r>
              <w:rPr>
                <w:rFonts w:ascii="Times New Roman" w:eastAsia="Times New Roman" w:hAnsi="Times New Roman" w:cs="Times New Roman"/>
                <w:sz w:val="20"/>
              </w:rPr>
              <w:t xml:space="preserve"> </w:t>
            </w:r>
          </w:p>
          <w:p w:rsidR="0076001D" w:rsidRDefault="0034129A">
            <w:pPr>
              <w:spacing w:after="0" w:line="259" w:lineRule="auto"/>
              <w:ind w:left="2" w:firstLine="0"/>
              <w:jc w:val="left"/>
            </w:pPr>
            <w:r>
              <w:rPr>
                <w:rFonts w:ascii="Times New Roman" w:eastAsia="Times New Roman" w:hAnsi="Times New Roman" w:cs="Times New Roman"/>
                <w:sz w:val="20"/>
              </w:rPr>
              <w:t xml:space="preserve"> </w:t>
            </w:r>
          </w:p>
          <w:p w:rsidR="0076001D" w:rsidRDefault="0034129A">
            <w:pPr>
              <w:spacing w:after="99" w:line="259" w:lineRule="auto"/>
              <w:ind w:left="2" w:firstLine="0"/>
              <w:jc w:val="left"/>
            </w:pPr>
            <w:r>
              <w:rPr>
                <w:rFonts w:ascii="Times New Roman" w:eastAsia="Times New Roman" w:hAnsi="Times New Roman" w:cs="Times New Roman"/>
                <w:sz w:val="20"/>
              </w:rPr>
              <w:t xml:space="preserve"> </w:t>
            </w:r>
          </w:p>
          <w:p w:rsidR="0076001D" w:rsidRDefault="0034129A">
            <w:pPr>
              <w:spacing w:after="0" w:line="259" w:lineRule="auto"/>
              <w:ind w:left="70" w:firstLine="0"/>
              <w:jc w:val="left"/>
            </w:pPr>
            <w:r>
              <w:rPr>
                <w:sz w:val="18"/>
              </w:rPr>
              <w:t xml:space="preserve">Actualizar el plan de contingencia tecnológica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39" w:lineRule="auto"/>
              <w:ind w:left="68" w:right="54" w:firstLine="0"/>
            </w:pPr>
            <w:r>
              <w:rPr>
                <w:sz w:val="18"/>
              </w:rPr>
              <w:t xml:space="preserve">La actividad no </w:t>
            </w:r>
            <w:proofErr w:type="spellStart"/>
            <w:r>
              <w:rPr>
                <w:sz w:val="18"/>
              </w:rPr>
              <w:t>esta</w:t>
            </w:r>
            <w:proofErr w:type="spellEnd"/>
            <w:r>
              <w:rPr>
                <w:sz w:val="18"/>
              </w:rPr>
              <w:t xml:space="preserve"> incluida en el Plan de acción, ni en los planes de Seguridad y privacidad de la información y el Plan de tratamiento de riesgos. </w:t>
            </w:r>
          </w:p>
          <w:p w:rsidR="0076001D" w:rsidRDefault="0034129A">
            <w:pPr>
              <w:spacing w:after="0" w:line="259" w:lineRule="auto"/>
              <w:ind w:left="1" w:firstLine="0"/>
              <w:jc w:val="left"/>
            </w:pPr>
            <w:r>
              <w:rPr>
                <w:rFonts w:ascii="Times New Roman" w:eastAsia="Times New Roman" w:hAnsi="Times New Roman" w:cs="Times New Roman"/>
                <w:sz w:val="17"/>
              </w:rPr>
              <w:t xml:space="preserve"> </w:t>
            </w:r>
          </w:p>
          <w:p w:rsidR="0076001D" w:rsidRDefault="0034129A">
            <w:pPr>
              <w:spacing w:after="0" w:line="240" w:lineRule="auto"/>
              <w:ind w:left="68" w:right="48" w:firstLine="0"/>
            </w:pPr>
            <w:r>
              <w:rPr>
                <w:sz w:val="18"/>
              </w:rPr>
              <w:t xml:space="preserve">Sin embargo, se recibió el PL-GT-12-02 Plan Contingencia Tecno V11_0.pdf actualizado a mayo de 2020, sobre el cual se emiten observaciones en el numeral </w:t>
            </w:r>
          </w:p>
          <w:p w:rsidR="0076001D" w:rsidRDefault="0034129A">
            <w:pPr>
              <w:spacing w:after="0" w:line="259" w:lineRule="auto"/>
              <w:ind w:left="68" w:firstLine="0"/>
              <w:jc w:val="left"/>
            </w:pPr>
            <w:r>
              <w:rPr>
                <w:sz w:val="18"/>
              </w:rPr>
              <w:t xml:space="preserve">5.1.3. </w:t>
            </w:r>
          </w:p>
        </w:tc>
      </w:tr>
      <w:tr w:rsidR="0076001D">
        <w:trPr>
          <w:trHeight w:val="2703"/>
        </w:trPr>
        <w:tc>
          <w:tcPr>
            <w:tcW w:w="354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lastRenderedPageBreak/>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70" w:firstLine="0"/>
              <w:jc w:val="left"/>
            </w:pPr>
            <w:r>
              <w:rPr>
                <w:sz w:val="18"/>
              </w:rPr>
              <w:t xml:space="preserve">No hay correlación en el Plan de Acción MIPG. </w:t>
            </w:r>
          </w:p>
        </w:tc>
        <w:tc>
          <w:tcPr>
            <w:tcW w:w="212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70" w:right="64" w:firstLine="0"/>
            </w:pPr>
            <w:r>
              <w:rPr>
                <w:sz w:val="18"/>
              </w:rPr>
              <w:t xml:space="preserve">Formular y ejecutar el plan  de trabajo  de acuerdo    a   los </w:t>
            </w:r>
          </w:p>
          <w:p w:rsidR="0076001D" w:rsidRDefault="0034129A">
            <w:pPr>
              <w:spacing w:after="0" w:line="259" w:lineRule="auto"/>
              <w:ind w:left="70" w:right="66" w:firstLine="0"/>
            </w:pPr>
            <w:proofErr w:type="gramStart"/>
            <w:r>
              <w:rPr>
                <w:sz w:val="18"/>
              </w:rPr>
              <w:t>lineamientos</w:t>
            </w:r>
            <w:proofErr w:type="gramEnd"/>
            <w:r>
              <w:rPr>
                <w:sz w:val="18"/>
              </w:rPr>
              <w:t xml:space="preserve"> establecidos    en  las políticas de "Seguridad digital",    "Gobierno digital" y "Transparencia acceso a la información y lucha  contra   la corrupción"   de MIPG para la implementación de estas políticas. </w:t>
            </w:r>
          </w:p>
        </w:tc>
        <w:tc>
          <w:tcPr>
            <w:tcW w:w="35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right="55" w:firstLine="0"/>
            </w:pPr>
            <w:r>
              <w:rPr>
                <w:sz w:val="18"/>
              </w:rPr>
              <w:t xml:space="preserve">Se presume inmerso en los demás planes entregados y en especial en las obligaciones del contrato 021 de 2020. </w:t>
            </w:r>
          </w:p>
        </w:tc>
      </w:tr>
    </w:tbl>
    <w:p w:rsidR="0076001D" w:rsidRDefault="0034129A">
      <w:pPr>
        <w:spacing w:after="8"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numPr>
          <w:ilvl w:val="0"/>
          <w:numId w:val="8"/>
        </w:numPr>
        <w:ind w:right="183" w:hanging="428"/>
      </w:pPr>
      <w:r>
        <w:t xml:space="preserve">Se observa que algunos de los proyectos del PETIC responden a dos de los objetivos específicos de la entidad declarados en el PEDI, sin embargo, no se incluye la trazabilidad explicita en el PETIC. </w:t>
      </w:r>
    </w:p>
    <w:p w:rsidR="0076001D" w:rsidRDefault="0034129A">
      <w:pPr>
        <w:spacing w:after="24" w:line="259" w:lineRule="auto"/>
        <w:ind w:left="0" w:firstLine="0"/>
        <w:jc w:val="left"/>
      </w:pPr>
      <w:r>
        <w:rPr>
          <w:sz w:val="20"/>
        </w:rPr>
        <w:t xml:space="preserve"> </w:t>
      </w:r>
    </w:p>
    <w:p w:rsidR="0076001D" w:rsidRDefault="0034129A">
      <w:pPr>
        <w:spacing w:after="0" w:line="259" w:lineRule="auto"/>
        <w:ind w:left="0" w:firstLine="0"/>
        <w:jc w:val="left"/>
      </w:pPr>
      <w:r>
        <w:rPr>
          <w:sz w:val="23"/>
        </w:rPr>
        <w:t xml:space="preserve"> </w:t>
      </w:r>
    </w:p>
    <w:tbl>
      <w:tblPr>
        <w:tblStyle w:val="TableGrid"/>
        <w:tblW w:w="9338" w:type="dxa"/>
        <w:tblInd w:w="405" w:type="dxa"/>
        <w:tblCellMar>
          <w:top w:w="6" w:type="dxa"/>
          <w:left w:w="112" w:type="dxa"/>
          <w:right w:w="42" w:type="dxa"/>
        </w:tblCellMar>
        <w:tblLook w:val="04A0" w:firstRow="1" w:lastRow="0" w:firstColumn="1" w:lastColumn="0" w:noHBand="0" w:noVBand="1"/>
      </w:tblPr>
      <w:tblGrid>
        <w:gridCol w:w="4221"/>
        <w:gridCol w:w="5117"/>
      </w:tblGrid>
      <w:tr w:rsidR="0076001D">
        <w:trPr>
          <w:trHeight w:val="269"/>
        </w:trPr>
        <w:tc>
          <w:tcPr>
            <w:tcW w:w="4221" w:type="dxa"/>
            <w:tcBorders>
              <w:top w:val="single" w:sz="4" w:space="0" w:color="000000"/>
              <w:left w:val="single" w:sz="4" w:space="0" w:color="000000"/>
              <w:bottom w:val="single" w:sz="4" w:space="0" w:color="000000"/>
              <w:right w:val="single" w:sz="4" w:space="0" w:color="000000"/>
            </w:tcBorders>
            <w:shd w:val="clear" w:color="auto" w:fill="9CC2E4"/>
          </w:tcPr>
          <w:p w:rsidR="0076001D" w:rsidRDefault="0034129A">
            <w:pPr>
              <w:spacing w:after="0" w:line="259" w:lineRule="auto"/>
              <w:ind w:left="0" w:right="71" w:firstLine="0"/>
              <w:jc w:val="center"/>
            </w:pPr>
            <w:r>
              <w:rPr>
                <w:b/>
                <w:sz w:val="20"/>
              </w:rPr>
              <w:t xml:space="preserve">NIVEL ESTRATEGICO ENTIDAD PEDI </w:t>
            </w:r>
          </w:p>
        </w:tc>
        <w:tc>
          <w:tcPr>
            <w:tcW w:w="5117" w:type="dxa"/>
            <w:tcBorders>
              <w:top w:val="single" w:sz="4" w:space="0" w:color="000000"/>
              <w:left w:val="single" w:sz="4" w:space="0" w:color="000000"/>
              <w:bottom w:val="single" w:sz="4" w:space="0" w:color="000000"/>
              <w:right w:val="single" w:sz="4" w:space="0" w:color="000000"/>
            </w:tcBorders>
            <w:shd w:val="clear" w:color="auto" w:fill="9CC2E4"/>
          </w:tcPr>
          <w:p w:rsidR="0076001D" w:rsidRDefault="0034129A">
            <w:pPr>
              <w:spacing w:after="0" w:line="259" w:lineRule="auto"/>
              <w:ind w:left="0" w:right="58" w:firstLine="0"/>
              <w:jc w:val="center"/>
            </w:pPr>
            <w:r>
              <w:rPr>
                <w:b/>
                <w:sz w:val="20"/>
              </w:rPr>
              <w:t xml:space="preserve">NIVEL ESTRATEGICO PETIC </w:t>
            </w:r>
          </w:p>
        </w:tc>
      </w:tr>
      <w:tr w:rsidR="0076001D">
        <w:trPr>
          <w:trHeight w:val="1864"/>
        </w:trPr>
        <w:tc>
          <w:tcPr>
            <w:tcW w:w="422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right="64" w:firstLine="0"/>
            </w:pPr>
            <w:r>
              <w:rPr>
                <w:sz w:val="20"/>
              </w:rPr>
              <w:t xml:space="preserve">Desarrollar 1 estrategia de comunicación, socialización y divulgación de la cualificación, investigación e innovación docente: Comunidades de saber y de práctica pedagógica. </w:t>
            </w:r>
          </w:p>
        </w:tc>
        <w:tc>
          <w:tcPr>
            <w:tcW w:w="5117"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77" w:lineRule="auto"/>
              <w:ind w:left="1" w:right="54" w:firstLine="0"/>
            </w:pPr>
            <w:r>
              <w:rPr>
                <w:sz w:val="20"/>
              </w:rPr>
              <w:t xml:space="preserve">Afiliar al Instituto para la Investigación Educativa y el Desarrollo Pedagógico - IDEP a la Red Nacional Académica de Tecnología Avanzada – RENATA y </w:t>
            </w:r>
          </w:p>
          <w:p w:rsidR="0076001D" w:rsidRDefault="0034129A">
            <w:pPr>
              <w:spacing w:after="0" w:line="259" w:lineRule="auto"/>
              <w:ind w:left="1" w:right="61" w:firstLine="0"/>
            </w:pPr>
            <w:proofErr w:type="gramStart"/>
            <w:r>
              <w:rPr>
                <w:sz w:val="20"/>
              </w:rPr>
              <w:t>contar</w:t>
            </w:r>
            <w:proofErr w:type="gramEnd"/>
            <w:r>
              <w:rPr>
                <w:sz w:val="20"/>
              </w:rPr>
              <w:t xml:space="preserve"> con los servicios de conectividad a la comunidad científica y de tecnología avanzada y la conectividad avanzada (internet 1:1 sin reúso + atributos de redes académicas). </w:t>
            </w:r>
          </w:p>
        </w:tc>
      </w:tr>
      <w:tr w:rsidR="0076001D">
        <w:trPr>
          <w:trHeight w:val="1622"/>
        </w:trPr>
        <w:tc>
          <w:tcPr>
            <w:tcW w:w="422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0" w:right="67" w:firstLine="0"/>
            </w:pPr>
            <w:r>
              <w:rPr>
                <w:sz w:val="20"/>
              </w:rPr>
              <w:t xml:space="preserve">Ejecutar el plan de acción del proyecto de inversión 1039 fortalecimiento a la Gestión Institucional y el Plan de adecuación y </w:t>
            </w:r>
          </w:p>
          <w:p w:rsidR="0076001D" w:rsidRDefault="0034129A">
            <w:pPr>
              <w:spacing w:after="0" w:line="259" w:lineRule="auto"/>
              <w:ind w:left="0" w:right="67" w:firstLine="0"/>
            </w:pPr>
            <w:proofErr w:type="gramStart"/>
            <w:r>
              <w:rPr>
                <w:sz w:val="20"/>
              </w:rPr>
              <w:t>sostenibilidad</w:t>
            </w:r>
            <w:proofErr w:type="gramEnd"/>
            <w:r>
              <w:rPr>
                <w:sz w:val="20"/>
              </w:rPr>
              <w:t xml:space="preserve"> del SIG con referente MIPG, para la implementación del Modelo Integrado de Planeación y Gestión y sus 7 dimensiones. </w:t>
            </w:r>
          </w:p>
        </w:tc>
        <w:tc>
          <w:tcPr>
            <w:tcW w:w="511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right="60" w:firstLine="0"/>
            </w:pPr>
            <w:r>
              <w:rPr>
                <w:sz w:val="20"/>
              </w:rPr>
              <w:t xml:space="preserve">Prestación de servicios profesionales para la administración y gestión de la infraestructura tecnológica del IDEP y para la implementación de las políticas Gobierno Digital y Seguridad Digital en el marco del Modelo Integrado de Planeación y Gestión. </w:t>
            </w:r>
          </w:p>
        </w:tc>
      </w:tr>
    </w:tbl>
    <w:p w:rsidR="0076001D" w:rsidRDefault="0034129A">
      <w:pPr>
        <w:spacing w:after="13" w:line="259" w:lineRule="auto"/>
        <w:ind w:left="0" w:firstLine="0"/>
        <w:jc w:val="left"/>
      </w:pPr>
      <w:r>
        <w:rPr>
          <w:sz w:val="20"/>
        </w:rPr>
        <w:t xml:space="preserve"> </w:t>
      </w:r>
    </w:p>
    <w:p w:rsidR="0076001D" w:rsidRDefault="0034129A">
      <w:pPr>
        <w:numPr>
          <w:ilvl w:val="0"/>
          <w:numId w:val="8"/>
        </w:numPr>
        <w:ind w:right="183" w:hanging="428"/>
      </w:pPr>
      <w:r>
        <w:t>Con respecto a la gestión de adquisiciones, se observa correcto tramite contractual entre los proyectos del PETI y el Plan de Adquisiciones 2020 (</w:t>
      </w:r>
      <w:r>
        <w:rPr>
          <w:i/>
        </w:rPr>
        <w:t>SEGUIMIENTO JUNIO 2020 V15 PAA INVER SIÓN Y V16 PAA FUNCIONAMIENTO P.xlsx</w:t>
      </w:r>
      <w:r>
        <w:t xml:space="preserve">). De igual manera, las adquisiciones se planearon de manera anticipada con base en los resultados de la auditoría 2019 y el análisis técnico de los requisitos de aprovisionamiento de la plataforma TIC. El Plan de adquisiciones es el resultado de las necesidades priorizadas de acuerdo al presupuesto disponible. Las iniciativas no priorizadas han sido registradas en el PETI para vigencias futuras. </w:t>
      </w:r>
    </w:p>
    <w:p w:rsidR="0076001D" w:rsidRDefault="0034129A">
      <w:pPr>
        <w:spacing w:after="21" w:line="259" w:lineRule="auto"/>
        <w:ind w:left="0" w:firstLine="0"/>
        <w:jc w:val="left"/>
      </w:pPr>
      <w:r>
        <w:rPr>
          <w:sz w:val="20"/>
        </w:rPr>
        <w:t xml:space="preserve"> </w:t>
      </w:r>
    </w:p>
    <w:p w:rsidR="0076001D" w:rsidRDefault="0034129A">
      <w:pPr>
        <w:spacing w:after="0" w:line="259" w:lineRule="auto"/>
        <w:ind w:left="0" w:firstLine="0"/>
        <w:jc w:val="left"/>
      </w:pPr>
      <w:r>
        <w:rPr>
          <w:sz w:val="24"/>
        </w:rPr>
        <w:t xml:space="preserve"> </w:t>
      </w:r>
    </w:p>
    <w:tbl>
      <w:tblPr>
        <w:tblStyle w:val="TableGrid"/>
        <w:tblW w:w="9198" w:type="dxa"/>
        <w:tblInd w:w="474" w:type="dxa"/>
        <w:tblCellMar>
          <w:top w:w="6" w:type="dxa"/>
          <w:left w:w="4" w:type="dxa"/>
          <w:right w:w="55" w:type="dxa"/>
        </w:tblCellMar>
        <w:tblLook w:val="04A0" w:firstRow="1" w:lastRow="0" w:firstColumn="1" w:lastColumn="0" w:noHBand="0" w:noVBand="1"/>
      </w:tblPr>
      <w:tblGrid>
        <w:gridCol w:w="4848"/>
        <w:gridCol w:w="4350"/>
      </w:tblGrid>
      <w:tr w:rsidR="0076001D">
        <w:trPr>
          <w:trHeight w:val="245"/>
        </w:trPr>
        <w:tc>
          <w:tcPr>
            <w:tcW w:w="4848" w:type="dxa"/>
            <w:tcBorders>
              <w:top w:val="single" w:sz="4" w:space="0" w:color="000000"/>
              <w:left w:val="single" w:sz="4" w:space="0" w:color="000000"/>
              <w:bottom w:val="single" w:sz="4" w:space="0" w:color="000000"/>
              <w:right w:val="single" w:sz="4" w:space="0" w:color="000000"/>
            </w:tcBorders>
            <w:shd w:val="clear" w:color="auto" w:fill="9CC2E4"/>
          </w:tcPr>
          <w:p w:rsidR="0076001D" w:rsidRDefault="0034129A">
            <w:pPr>
              <w:spacing w:after="0" w:line="259" w:lineRule="auto"/>
              <w:ind w:left="51" w:firstLine="0"/>
              <w:jc w:val="center"/>
            </w:pPr>
            <w:r>
              <w:rPr>
                <w:b/>
                <w:sz w:val="18"/>
              </w:rPr>
              <w:t xml:space="preserve">NIVEL ESTRATEGICO PETIC </w:t>
            </w:r>
          </w:p>
        </w:tc>
        <w:tc>
          <w:tcPr>
            <w:tcW w:w="4350" w:type="dxa"/>
            <w:tcBorders>
              <w:top w:val="single" w:sz="4" w:space="0" w:color="000000"/>
              <w:left w:val="single" w:sz="4" w:space="0" w:color="000000"/>
              <w:bottom w:val="single" w:sz="4" w:space="0" w:color="000000"/>
              <w:right w:val="single" w:sz="4" w:space="0" w:color="000000"/>
            </w:tcBorders>
            <w:shd w:val="clear" w:color="auto" w:fill="9CC2E4"/>
          </w:tcPr>
          <w:p w:rsidR="0076001D" w:rsidRDefault="0034129A">
            <w:pPr>
              <w:spacing w:after="0" w:line="259" w:lineRule="auto"/>
              <w:ind w:left="104" w:firstLine="0"/>
              <w:jc w:val="left"/>
            </w:pPr>
            <w:r>
              <w:rPr>
                <w:b/>
                <w:sz w:val="18"/>
              </w:rPr>
              <w:t xml:space="preserve">GESTION DE ADQUISICIONES </w:t>
            </w:r>
          </w:p>
        </w:tc>
      </w:tr>
      <w:tr w:rsidR="0076001D">
        <w:trPr>
          <w:trHeight w:val="1463"/>
        </w:trPr>
        <w:tc>
          <w:tcPr>
            <w:tcW w:w="4848"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0" w:lineRule="auto"/>
              <w:ind w:left="108" w:right="48" w:firstLine="0"/>
            </w:pPr>
            <w:r>
              <w:rPr>
                <w:sz w:val="18"/>
              </w:rPr>
              <w:lastRenderedPageBreak/>
              <w:t xml:space="preserve">Afiliar al Instituto para la Investigación Educativa y el Desarrollo Pedagógico - IDEP a la Red Nacional Académica de Tecnología Avanzada – RENATA y contar con los servicios de conectividad a la comunidad científica y de tecnología avanzada y la conectividad </w:t>
            </w:r>
          </w:p>
          <w:p w:rsidR="0076001D" w:rsidRDefault="0034129A">
            <w:pPr>
              <w:spacing w:after="0" w:line="259" w:lineRule="auto"/>
              <w:ind w:left="108" w:firstLine="0"/>
              <w:jc w:val="left"/>
            </w:pPr>
            <w:proofErr w:type="gramStart"/>
            <w:r>
              <w:rPr>
                <w:sz w:val="18"/>
              </w:rPr>
              <w:t>avanzada</w:t>
            </w:r>
            <w:proofErr w:type="gramEnd"/>
            <w:r>
              <w:rPr>
                <w:sz w:val="18"/>
              </w:rPr>
              <w:t xml:space="preserve"> (internet 1:1 sin reúso + atributos de redes académicas). </w:t>
            </w:r>
          </w:p>
        </w:tc>
        <w:tc>
          <w:tcPr>
            <w:tcW w:w="435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4" w:firstLine="0"/>
              <w:jc w:val="left"/>
            </w:pPr>
            <w:r>
              <w:rPr>
                <w:sz w:val="18"/>
              </w:rPr>
              <w:t xml:space="preserve">Contrato 048 de 2020 </w:t>
            </w:r>
          </w:p>
          <w:p w:rsidR="0076001D" w:rsidRDefault="0034129A">
            <w:pPr>
              <w:spacing w:after="0" w:line="259" w:lineRule="auto"/>
              <w:ind w:left="104" w:firstLine="0"/>
              <w:jc w:val="left"/>
            </w:pPr>
            <w:r>
              <w:rPr>
                <w:sz w:val="18"/>
              </w:rPr>
              <w:t xml:space="preserve">CORPORACION RED NACIONAL ACADEMICA </w:t>
            </w:r>
          </w:p>
          <w:p w:rsidR="0076001D" w:rsidRDefault="0034129A">
            <w:pPr>
              <w:spacing w:after="0" w:line="259" w:lineRule="auto"/>
              <w:ind w:left="104" w:firstLine="0"/>
              <w:jc w:val="left"/>
            </w:pPr>
            <w:r>
              <w:rPr>
                <w:sz w:val="18"/>
              </w:rPr>
              <w:t xml:space="preserve">DE TECNOLOGIA </w:t>
            </w:r>
          </w:p>
          <w:p w:rsidR="0076001D" w:rsidRDefault="0034129A">
            <w:pPr>
              <w:spacing w:after="0" w:line="259" w:lineRule="auto"/>
              <w:ind w:left="104" w:firstLine="0"/>
              <w:jc w:val="left"/>
            </w:pPr>
            <w:r>
              <w:rPr>
                <w:sz w:val="18"/>
              </w:rPr>
              <w:t xml:space="preserve">Proyectado PETI: $27.186.000 en Funcionamiento </w:t>
            </w:r>
          </w:p>
          <w:p w:rsidR="0076001D" w:rsidRDefault="0034129A">
            <w:pPr>
              <w:spacing w:after="0" w:line="259" w:lineRule="auto"/>
              <w:ind w:left="104" w:firstLine="0"/>
              <w:jc w:val="left"/>
            </w:pPr>
            <w:r>
              <w:rPr>
                <w:sz w:val="18"/>
              </w:rPr>
              <w:t xml:space="preserve">Real: $42.214.459 en INVERSIÓN 1079 </w:t>
            </w:r>
          </w:p>
        </w:tc>
      </w:tr>
      <w:tr w:rsidR="0076001D">
        <w:trPr>
          <w:trHeight w:val="629"/>
        </w:trPr>
        <w:tc>
          <w:tcPr>
            <w:tcW w:w="48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17"/>
              </w:rPr>
              <w:t xml:space="preserve"> </w:t>
            </w:r>
          </w:p>
          <w:p w:rsidR="0076001D" w:rsidRDefault="0034129A">
            <w:pPr>
              <w:spacing w:after="0" w:line="259" w:lineRule="auto"/>
              <w:ind w:left="108" w:firstLine="0"/>
              <w:jc w:val="left"/>
            </w:pPr>
            <w:r>
              <w:rPr>
                <w:color w:val="212121"/>
                <w:sz w:val="18"/>
              </w:rPr>
              <w:t>Migración del sistema de información HUMANO</w:t>
            </w:r>
            <w:r>
              <w:rPr>
                <w:sz w:val="18"/>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4" w:firstLine="0"/>
              <w:jc w:val="left"/>
            </w:pPr>
            <w:r>
              <w:rPr>
                <w:sz w:val="18"/>
              </w:rPr>
              <w:t xml:space="preserve">Contrato 26 de 2020 </w:t>
            </w:r>
          </w:p>
          <w:p w:rsidR="0076001D" w:rsidRDefault="0034129A">
            <w:pPr>
              <w:spacing w:after="0" w:line="259" w:lineRule="auto"/>
              <w:ind w:left="104" w:firstLine="0"/>
              <w:jc w:val="left"/>
            </w:pPr>
            <w:r>
              <w:rPr>
                <w:sz w:val="18"/>
              </w:rPr>
              <w:t xml:space="preserve">SOPORTE LOGICO LTDA </w:t>
            </w:r>
          </w:p>
          <w:p w:rsidR="0076001D" w:rsidRDefault="0034129A">
            <w:pPr>
              <w:spacing w:after="0" w:line="259" w:lineRule="auto"/>
              <w:ind w:left="104" w:firstLine="0"/>
              <w:jc w:val="left"/>
            </w:pPr>
            <w:r>
              <w:rPr>
                <w:sz w:val="18"/>
              </w:rPr>
              <w:t xml:space="preserve">Coinciden los montos. </w:t>
            </w:r>
          </w:p>
        </w:tc>
      </w:tr>
      <w:tr w:rsidR="0076001D">
        <w:trPr>
          <w:trHeight w:val="1459"/>
        </w:trPr>
        <w:tc>
          <w:tcPr>
            <w:tcW w:w="48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27"/>
              </w:rPr>
              <w:t xml:space="preserve"> </w:t>
            </w:r>
          </w:p>
          <w:p w:rsidR="0076001D" w:rsidRDefault="0034129A">
            <w:pPr>
              <w:spacing w:after="0" w:line="259" w:lineRule="auto"/>
              <w:ind w:left="108" w:firstLine="0"/>
              <w:jc w:val="left"/>
            </w:pPr>
            <w:r>
              <w:rPr>
                <w:color w:val="212121"/>
                <w:sz w:val="18"/>
              </w:rPr>
              <w:t xml:space="preserve">Proveer y mantener actualizados y en buen estado los </w:t>
            </w:r>
          </w:p>
          <w:p w:rsidR="0076001D" w:rsidRDefault="0034129A">
            <w:pPr>
              <w:tabs>
                <w:tab w:val="center" w:pos="1780"/>
                <w:tab w:val="center" w:pos="3208"/>
                <w:tab w:val="right" w:pos="4789"/>
              </w:tabs>
              <w:spacing w:after="0" w:line="259" w:lineRule="auto"/>
              <w:ind w:left="0" w:firstLine="0"/>
              <w:jc w:val="left"/>
            </w:pPr>
            <w:r>
              <w:rPr>
                <w:color w:val="212121"/>
                <w:sz w:val="18"/>
              </w:rPr>
              <w:t xml:space="preserve">recursos </w:t>
            </w:r>
            <w:r>
              <w:rPr>
                <w:color w:val="212121"/>
                <w:sz w:val="18"/>
              </w:rPr>
              <w:tab/>
              <w:t xml:space="preserve">de </w:t>
            </w:r>
            <w:r>
              <w:rPr>
                <w:color w:val="212121"/>
                <w:sz w:val="18"/>
              </w:rPr>
              <w:tab/>
              <w:t xml:space="preserve">Tecnología </w:t>
            </w:r>
            <w:r>
              <w:rPr>
                <w:color w:val="212121"/>
                <w:sz w:val="18"/>
              </w:rPr>
              <w:tab/>
              <w:t xml:space="preserve">de </w:t>
            </w:r>
          </w:p>
          <w:p w:rsidR="0076001D" w:rsidRDefault="0034129A">
            <w:pPr>
              <w:spacing w:after="0" w:line="259" w:lineRule="auto"/>
              <w:ind w:left="108" w:firstLine="0"/>
            </w:pPr>
            <w:r>
              <w:rPr>
                <w:color w:val="212121"/>
                <w:sz w:val="18"/>
              </w:rPr>
              <w:t>Información y Comunicación necesarios para el funcionamiento del IDEP</w:t>
            </w:r>
            <w:r>
              <w:rPr>
                <w:sz w:val="18"/>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4" w:firstLine="0"/>
              <w:jc w:val="left"/>
            </w:pPr>
            <w:r>
              <w:rPr>
                <w:sz w:val="18"/>
              </w:rPr>
              <w:t xml:space="preserve">Contrato 31 de 2020 y 50 de 2020 </w:t>
            </w:r>
          </w:p>
          <w:p w:rsidR="0076001D" w:rsidRDefault="0034129A">
            <w:pPr>
              <w:spacing w:after="0" w:line="259" w:lineRule="auto"/>
              <w:ind w:left="104" w:firstLine="0"/>
              <w:jc w:val="left"/>
            </w:pPr>
            <w:r>
              <w:rPr>
                <w:sz w:val="18"/>
              </w:rPr>
              <w:t xml:space="preserve">GOOBI SAS. Coinciden los montos </w:t>
            </w:r>
          </w:p>
          <w:p w:rsidR="0076001D" w:rsidRDefault="0034129A">
            <w:pPr>
              <w:spacing w:after="0" w:line="259" w:lineRule="auto"/>
              <w:ind w:left="104" w:right="625" w:firstLine="0"/>
              <w:jc w:val="left"/>
            </w:pPr>
            <w:r>
              <w:rPr>
                <w:sz w:val="18"/>
              </w:rPr>
              <w:t xml:space="preserve">Contrato 60 2020 ITO SOFTWARE SAS Los demás ítems del PETI se encuentran registrados en el Plan de adquisiciones </w:t>
            </w:r>
          </w:p>
        </w:tc>
      </w:tr>
    </w:tbl>
    <w:p w:rsidR="0076001D" w:rsidRDefault="0034129A">
      <w:pPr>
        <w:spacing w:after="0" w:line="259" w:lineRule="auto"/>
        <w:ind w:left="0" w:firstLine="0"/>
        <w:jc w:val="left"/>
      </w:pPr>
      <w:r>
        <w:t xml:space="preserve"> </w:t>
      </w:r>
    </w:p>
    <w:tbl>
      <w:tblPr>
        <w:tblStyle w:val="TableGrid"/>
        <w:tblW w:w="9198" w:type="dxa"/>
        <w:tblInd w:w="474" w:type="dxa"/>
        <w:tblCellMar>
          <w:top w:w="6" w:type="dxa"/>
          <w:left w:w="108" w:type="dxa"/>
          <w:right w:w="57" w:type="dxa"/>
        </w:tblCellMar>
        <w:tblLook w:val="04A0" w:firstRow="1" w:lastRow="0" w:firstColumn="1" w:lastColumn="0" w:noHBand="0" w:noVBand="1"/>
      </w:tblPr>
      <w:tblGrid>
        <w:gridCol w:w="4848"/>
        <w:gridCol w:w="4350"/>
      </w:tblGrid>
      <w:tr w:rsidR="0076001D">
        <w:trPr>
          <w:trHeight w:val="245"/>
        </w:trPr>
        <w:tc>
          <w:tcPr>
            <w:tcW w:w="4848" w:type="dxa"/>
            <w:tcBorders>
              <w:top w:val="single" w:sz="4" w:space="0" w:color="000000"/>
              <w:left w:val="single" w:sz="4" w:space="0" w:color="000000"/>
              <w:bottom w:val="single" w:sz="4" w:space="0" w:color="000000"/>
              <w:right w:val="single" w:sz="4" w:space="0" w:color="000000"/>
            </w:tcBorders>
            <w:shd w:val="clear" w:color="auto" w:fill="9CC2E4"/>
          </w:tcPr>
          <w:p w:rsidR="0076001D" w:rsidRDefault="0034129A">
            <w:pPr>
              <w:spacing w:after="0" w:line="259" w:lineRule="auto"/>
              <w:ind w:left="0" w:right="51" w:firstLine="0"/>
              <w:jc w:val="center"/>
            </w:pPr>
            <w:r>
              <w:rPr>
                <w:b/>
                <w:sz w:val="18"/>
              </w:rPr>
              <w:t xml:space="preserve">NIVEL ESTRATEGICO PETIC </w:t>
            </w:r>
          </w:p>
        </w:tc>
        <w:tc>
          <w:tcPr>
            <w:tcW w:w="4350" w:type="dxa"/>
            <w:tcBorders>
              <w:top w:val="single" w:sz="4" w:space="0" w:color="000000"/>
              <w:left w:val="single" w:sz="4" w:space="0" w:color="000000"/>
              <w:bottom w:val="single" w:sz="4" w:space="0" w:color="000000"/>
              <w:right w:val="single" w:sz="4" w:space="0" w:color="000000"/>
            </w:tcBorders>
            <w:shd w:val="clear" w:color="auto" w:fill="9CC2E4"/>
          </w:tcPr>
          <w:p w:rsidR="0076001D" w:rsidRDefault="0034129A">
            <w:pPr>
              <w:spacing w:after="0" w:line="259" w:lineRule="auto"/>
              <w:ind w:left="0" w:firstLine="0"/>
              <w:jc w:val="left"/>
            </w:pPr>
            <w:r>
              <w:rPr>
                <w:b/>
                <w:sz w:val="18"/>
              </w:rPr>
              <w:t xml:space="preserve">GESTION DE ADQUISICIONES </w:t>
            </w:r>
          </w:p>
        </w:tc>
      </w:tr>
      <w:tr w:rsidR="0076001D">
        <w:trPr>
          <w:trHeight w:val="1254"/>
        </w:trPr>
        <w:tc>
          <w:tcPr>
            <w:tcW w:w="48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0" w:lineRule="auto"/>
              <w:ind w:left="4" w:right="51" w:firstLine="0"/>
            </w:pPr>
            <w:r>
              <w:rPr>
                <w:color w:val="212121"/>
                <w:sz w:val="18"/>
              </w:rPr>
              <w:t>Prestación de servicios profesionales para la administración y gestión de la infraestructura tecnológica del IDEP y para la implementación de las políticas Gobierno Digital y Seguridad Digital en el marco del Modelo Integrado de</w:t>
            </w:r>
            <w:r>
              <w:rPr>
                <w:sz w:val="18"/>
              </w:rPr>
              <w:t xml:space="preserve"> </w:t>
            </w:r>
          </w:p>
          <w:p w:rsidR="0076001D" w:rsidRDefault="0034129A">
            <w:pPr>
              <w:spacing w:after="0" w:line="259" w:lineRule="auto"/>
              <w:ind w:left="4" w:firstLine="0"/>
              <w:jc w:val="left"/>
            </w:pPr>
            <w:r>
              <w:rPr>
                <w:color w:val="212121"/>
                <w:sz w:val="18"/>
              </w:rPr>
              <w:t>Planeación y Gestión.</w:t>
            </w:r>
            <w:r>
              <w:rPr>
                <w:sz w:val="18"/>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18"/>
              </w:rPr>
              <w:t xml:space="preserve">Contrato 21 de 2020 </w:t>
            </w:r>
          </w:p>
          <w:p w:rsidR="0076001D" w:rsidRDefault="0034129A">
            <w:pPr>
              <w:spacing w:after="0" w:line="259" w:lineRule="auto"/>
              <w:ind w:left="0" w:firstLine="0"/>
              <w:jc w:val="left"/>
            </w:pPr>
            <w:r>
              <w:rPr>
                <w:sz w:val="18"/>
              </w:rPr>
              <w:t xml:space="preserve">ARMANDO ALFONSO LEYTON GONZALEZ </w:t>
            </w:r>
          </w:p>
          <w:p w:rsidR="0076001D" w:rsidRDefault="0034129A">
            <w:pPr>
              <w:spacing w:after="0" w:line="259" w:lineRule="auto"/>
              <w:ind w:left="0" w:firstLine="0"/>
              <w:jc w:val="left"/>
            </w:pPr>
            <w:r>
              <w:rPr>
                <w:sz w:val="18"/>
              </w:rPr>
              <w:t xml:space="preserve">Funcionamiento, el monto coincide </w:t>
            </w:r>
          </w:p>
        </w:tc>
      </w:tr>
      <w:tr w:rsidR="0076001D">
        <w:trPr>
          <w:trHeight w:val="631"/>
        </w:trPr>
        <w:tc>
          <w:tcPr>
            <w:tcW w:w="48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4" w:firstLine="0"/>
              <w:jc w:val="left"/>
            </w:pPr>
            <w:r>
              <w:rPr>
                <w:color w:val="212121"/>
                <w:sz w:val="18"/>
              </w:rPr>
              <w:t xml:space="preserve">Prestación de servicios para la adquisición, instalación, </w:t>
            </w:r>
          </w:p>
          <w:p w:rsidR="0076001D" w:rsidRDefault="0034129A">
            <w:pPr>
              <w:tabs>
                <w:tab w:val="center" w:pos="2026"/>
                <w:tab w:val="center" w:pos="3251"/>
                <w:tab w:val="right" w:pos="4683"/>
              </w:tabs>
              <w:spacing w:after="0" w:line="259" w:lineRule="auto"/>
              <w:ind w:left="0" w:firstLine="0"/>
              <w:jc w:val="left"/>
            </w:pPr>
            <w:r>
              <w:rPr>
                <w:color w:val="212121"/>
                <w:sz w:val="18"/>
              </w:rPr>
              <w:t xml:space="preserve">configuración </w:t>
            </w:r>
            <w:r>
              <w:rPr>
                <w:color w:val="212121"/>
                <w:sz w:val="18"/>
              </w:rPr>
              <w:tab/>
              <w:t xml:space="preserve">y </w:t>
            </w:r>
            <w:r>
              <w:rPr>
                <w:color w:val="212121"/>
                <w:sz w:val="18"/>
              </w:rPr>
              <w:tab/>
              <w:t xml:space="preserve">puesta </w:t>
            </w:r>
            <w:r>
              <w:rPr>
                <w:color w:val="212121"/>
                <w:sz w:val="18"/>
              </w:rPr>
              <w:tab/>
              <w:t xml:space="preserve">en </w:t>
            </w:r>
          </w:p>
          <w:p w:rsidR="0076001D" w:rsidRDefault="0034129A">
            <w:pPr>
              <w:spacing w:after="0" w:line="259" w:lineRule="auto"/>
              <w:ind w:left="4" w:firstLine="0"/>
              <w:jc w:val="left"/>
            </w:pPr>
            <w:r>
              <w:rPr>
                <w:color w:val="212121"/>
                <w:sz w:val="18"/>
              </w:rPr>
              <w:t>funcionamiento de una solución de copias de respaldo</w:t>
            </w:r>
            <w:r>
              <w:rPr>
                <w:sz w:val="18"/>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18"/>
              </w:rPr>
              <w:t xml:space="preserve">La decisión </w:t>
            </w:r>
            <w:proofErr w:type="spellStart"/>
            <w:r>
              <w:rPr>
                <w:sz w:val="18"/>
              </w:rPr>
              <w:t>esta</w:t>
            </w:r>
            <w:proofErr w:type="spellEnd"/>
            <w:r>
              <w:rPr>
                <w:sz w:val="18"/>
              </w:rPr>
              <w:t xml:space="preserve"> en proceso de análisis </w:t>
            </w:r>
          </w:p>
        </w:tc>
      </w:tr>
      <w:tr w:rsidR="0076001D">
        <w:trPr>
          <w:trHeight w:val="1045"/>
        </w:trPr>
        <w:tc>
          <w:tcPr>
            <w:tcW w:w="4848" w:type="dxa"/>
            <w:tcBorders>
              <w:top w:val="single" w:sz="4" w:space="0" w:color="000000"/>
              <w:left w:val="single" w:sz="4" w:space="0" w:color="000000"/>
              <w:bottom w:val="single" w:sz="4" w:space="0" w:color="000000"/>
              <w:right w:val="single" w:sz="4" w:space="0" w:color="000000"/>
            </w:tcBorders>
          </w:tcPr>
          <w:p w:rsidR="0076001D" w:rsidRDefault="0034129A">
            <w:pPr>
              <w:spacing w:after="3" w:line="240" w:lineRule="auto"/>
              <w:ind w:left="4" w:right="48" w:firstLine="0"/>
            </w:pPr>
            <w:r>
              <w:rPr>
                <w:color w:val="212121"/>
                <w:sz w:val="18"/>
              </w:rPr>
              <w:t xml:space="preserve">Realizar el análisis, diseño, adopción, implementación y transferencia de conocimiento del protocolo ipv6 en coexistencia con el protocolo ipv4, para el Instituto para la </w:t>
            </w:r>
          </w:p>
          <w:p w:rsidR="0076001D" w:rsidRDefault="0034129A">
            <w:pPr>
              <w:spacing w:after="0" w:line="259" w:lineRule="auto"/>
              <w:ind w:left="4" w:firstLine="0"/>
              <w:jc w:val="left"/>
            </w:pPr>
            <w:r>
              <w:rPr>
                <w:color w:val="212121"/>
                <w:sz w:val="18"/>
              </w:rPr>
              <w:t>Investigación Educativa y el Desarrollo Pedagógico –</w:t>
            </w:r>
            <w:r>
              <w:rPr>
                <w:sz w:val="18"/>
              </w:rPr>
              <w:t xml:space="preserve"> </w:t>
            </w:r>
            <w:r>
              <w:rPr>
                <w:color w:val="212121"/>
                <w:sz w:val="18"/>
              </w:rPr>
              <w:t>IDEP.</w:t>
            </w:r>
            <w:r>
              <w:rPr>
                <w:sz w:val="18"/>
              </w:rPr>
              <w:t xml:space="preserve"> </w:t>
            </w:r>
          </w:p>
        </w:tc>
        <w:tc>
          <w:tcPr>
            <w:tcW w:w="435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18"/>
              </w:rPr>
              <w:t xml:space="preserve">Contrato 53 de 2020 </w:t>
            </w:r>
          </w:p>
          <w:p w:rsidR="0076001D" w:rsidRDefault="0034129A">
            <w:pPr>
              <w:spacing w:after="0" w:line="259" w:lineRule="auto"/>
              <w:ind w:left="0" w:firstLine="0"/>
              <w:jc w:val="left"/>
            </w:pPr>
            <w:r>
              <w:rPr>
                <w:sz w:val="18"/>
              </w:rPr>
              <w:t xml:space="preserve">UNIÓN TEMPORAL UT IPV6 BG 2020 </w:t>
            </w:r>
          </w:p>
          <w:p w:rsidR="0076001D" w:rsidRDefault="0034129A">
            <w:pPr>
              <w:spacing w:after="0" w:line="259" w:lineRule="auto"/>
              <w:ind w:left="0" w:firstLine="0"/>
              <w:jc w:val="left"/>
            </w:pPr>
            <w:r>
              <w:rPr>
                <w:sz w:val="18"/>
              </w:rPr>
              <w:t xml:space="preserve">Presupuestado $64.600.000 </w:t>
            </w:r>
          </w:p>
          <w:p w:rsidR="0076001D" w:rsidRDefault="0034129A">
            <w:pPr>
              <w:spacing w:after="0" w:line="259" w:lineRule="auto"/>
              <w:ind w:left="0" w:firstLine="0"/>
              <w:jc w:val="left"/>
            </w:pPr>
            <w:r>
              <w:rPr>
                <w:sz w:val="18"/>
              </w:rPr>
              <w:t xml:space="preserve">Real: $170.408.000 </w:t>
            </w:r>
          </w:p>
        </w:tc>
      </w:tr>
    </w:tbl>
    <w:p w:rsidR="0076001D" w:rsidRDefault="0034129A">
      <w:pPr>
        <w:spacing w:after="0" w:line="259" w:lineRule="auto"/>
        <w:ind w:left="0" w:firstLine="0"/>
        <w:jc w:val="left"/>
      </w:pPr>
      <w:r>
        <w:rPr>
          <w:sz w:val="20"/>
        </w:rPr>
        <w:t xml:space="preserve"> </w:t>
      </w:r>
    </w:p>
    <w:p w:rsidR="0076001D" w:rsidRDefault="0034129A">
      <w:pPr>
        <w:spacing w:after="143" w:line="259" w:lineRule="auto"/>
        <w:ind w:left="0" w:firstLine="0"/>
        <w:jc w:val="left"/>
      </w:pPr>
      <w:r>
        <w:rPr>
          <w:sz w:val="15"/>
        </w:rPr>
        <w:t xml:space="preserve"> </w:t>
      </w:r>
    </w:p>
    <w:p w:rsidR="0076001D" w:rsidRDefault="0034129A">
      <w:pPr>
        <w:spacing w:after="223"/>
        <w:ind w:left="545" w:right="177" w:firstLine="0"/>
      </w:pPr>
      <w:r>
        <w:t>Con el propósito de atender las acciones de las políticas de Gobierno Digital y Seguridad Digital incluidas en el Plan de Adecuación y Sostenibilidad del SIG con referente MIPG para el 2020 (</w:t>
      </w:r>
      <w:r>
        <w:rPr>
          <w:i/>
        </w:rPr>
        <w:t xml:space="preserve">Seguimiento plan acción MIPG II Trimestre 2020.xlsx), </w:t>
      </w:r>
      <w:r>
        <w:t>el 21 de febrero de, 2020, se celebró el contrato 021, cuyo alcance cita: “3</w:t>
      </w:r>
      <w:r>
        <w:rPr>
          <w:i/>
        </w:rPr>
        <w:t xml:space="preserve">.1. Alcance: Responder por la formulación, ejecución, seguimiento y control del Plan Estratégico de Tecnologías de la información y las Comunicaciones - </w:t>
      </w:r>
      <w:proofErr w:type="spellStart"/>
      <w:r>
        <w:rPr>
          <w:i/>
        </w:rPr>
        <w:t>PETl</w:t>
      </w:r>
      <w:proofErr w:type="spellEnd"/>
      <w:r>
        <w:rPr>
          <w:i/>
        </w:rPr>
        <w:t xml:space="preserve"> de la vigencia 2020  así  como  los  planes  orientados  a implementar  las  políticas  de  Gobierno  Digital  y  Seguridad  Digital   y   el  plan relacionado con  la implementación de la Ley de protección de datos personales</w:t>
      </w:r>
      <w:r>
        <w:t>.”, donde  uno de los productos es el PETI actualizado, que según informes de actividades del contratista del 12 de junio y 21 de julio de 2020 fue entregado con el documento “</w:t>
      </w:r>
      <w:r>
        <w:rPr>
          <w:i/>
        </w:rPr>
        <w:t>PL-GT-12- 01 PETIC V 19.pdf</w:t>
      </w:r>
      <w:r>
        <w:t xml:space="preserve">”, pese a que presenta las deficiencias que se relacionan a continuación. </w:t>
      </w:r>
    </w:p>
    <w:p w:rsidR="0076001D" w:rsidRDefault="0034129A">
      <w:pPr>
        <w:ind w:left="545" w:right="187" w:firstLine="0"/>
      </w:pPr>
      <w:r>
        <w:t xml:space="preserve">Con respecto a los Planes de Seguridad y Privacidad de la información y el Plan de Tratamiento de Riesgos TIC, que son parte del alcance del contrato 021 de 2020, estos tampoco abarcan la envergadura de las directrices de Gobierno digital y seguridad Digital. Se emiten las observaciones en los numerales 5.1.3 y 5.1.4. </w:t>
      </w:r>
    </w:p>
    <w:p w:rsidR="0076001D" w:rsidRDefault="0034129A">
      <w:pPr>
        <w:spacing w:after="26" w:line="259" w:lineRule="auto"/>
        <w:ind w:left="0" w:firstLine="0"/>
        <w:jc w:val="left"/>
      </w:pPr>
      <w:r>
        <w:rPr>
          <w:sz w:val="20"/>
        </w:rPr>
        <w:t xml:space="preserve"> </w:t>
      </w:r>
    </w:p>
    <w:p w:rsidR="0076001D" w:rsidRDefault="0034129A">
      <w:pPr>
        <w:spacing w:after="0" w:line="259" w:lineRule="auto"/>
        <w:ind w:left="0" w:right="8956" w:firstLine="0"/>
        <w:jc w:val="left"/>
      </w:pPr>
      <w:r>
        <w:rPr>
          <w:sz w:val="24"/>
        </w:rPr>
        <w:t xml:space="preserve"> </w:t>
      </w:r>
    </w:p>
    <w:p w:rsidR="0076001D" w:rsidRDefault="0034129A">
      <w:pPr>
        <w:ind w:left="914" w:right="177"/>
      </w:pPr>
      <w:r>
        <w:rPr>
          <w:noProof/>
          <w:lang w:val="es-ES" w:eastAsia="es-ES"/>
        </w:rPr>
        <w:lastRenderedPageBreak/>
        <w:drawing>
          <wp:inline distT="0" distB="0" distL="0" distR="0">
            <wp:extent cx="226695" cy="228511"/>
            <wp:effectExtent l="0" t="0" r="0" b="0"/>
            <wp:docPr id="2872" name="Picture 2872"/>
            <wp:cNvGraphicFramePr/>
            <a:graphic xmlns:a="http://schemas.openxmlformats.org/drawingml/2006/main">
              <a:graphicData uri="http://schemas.openxmlformats.org/drawingml/2006/picture">
                <pic:pic xmlns:pic="http://schemas.openxmlformats.org/drawingml/2006/picture">
                  <pic:nvPicPr>
                    <pic:cNvPr id="2872" name="Picture 2872"/>
                    <pic:cNvPicPr/>
                  </pic:nvPicPr>
                  <pic:blipFill>
                    <a:blip r:embed="rId60"/>
                    <a:stretch>
                      <a:fillRect/>
                    </a:stretch>
                  </pic:blipFill>
                  <pic:spPr>
                    <a:xfrm>
                      <a:off x="0" y="0"/>
                      <a:ext cx="226695" cy="228511"/>
                    </a:xfrm>
                    <a:prstGeom prst="rect">
                      <a:avLst/>
                    </a:prstGeom>
                  </pic:spPr>
                </pic:pic>
              </a:graphicData>
            </a:graphic>
          </wp:inline>
        </w:drawing>
      </w:r>
      <w:r>
        <w:t xml:space="preserve"> De acuerdo al informe de actividades del 12 de junio y 21 de julio del 2020, la actividad 4 se reporta como cumplida, pese a que el PETIC no se encuentra actualizado a los lineamientos de construcción de PETI del Manual de Gobierno Digital V7, el MAE.G.GEN.01 Documento Maestro del Modelo de Arquitectura Empresarial V1 y en especial la G.ES.06 Guía para la construcción del PETI versión 2. En entrevista adelantada con el contratista, al cuestionar sobre las falencias relacionadas en los siguientes ítems, el contratista manifiesta que el alcance de su contrato contemplaba solo la actualización del PETIC 2020 con respecto a lo que incluía el PETIC 2019, desconociendo no solo las nuevas directrices publicadas por MINTIC, sino también los hallazgos evidenciados en el informe de auditoría del año 2019, para las cuales no se encontraron acciones de mejoramiento en los documentos: “</w:t>
      </w:r>
      <w:r>
        <w:rPr>
          <w:i/>
        </w:rPr>
        <w:t xml:space="preserve">Consolidado Plan mejoramiento 2019-4.xlsx” y Plan de Mejoramiento Seguimiento II trimestre OCI.xlsx”. </w:t>
      </w:r>
    </w:p>
    <w:p w:rsidR="0076001D" w:rsidRDefault="0034129A">
      <w:pPr>
        <w:spacing w:after="158" w:line="259" w:lineRule="auto"/>
        <w:ind w:left="0" w:firstLine="0"/>
        <w:jc w:val="left"/>
      </w:pPr>
      <w:r>
        <w:rPr>
          <w:i/>
          <w:sz w:val="14"/>
        </w:rPr>
        <w:t xml:space="preserve"> </w:t>
      </w:r>
    </w:p>
    <w:p w:rsidR="0076001D" w:rsidRDefault="0034129A">
      <w:pPr>
        <w:ind w:left="1210" w:right="183" w:firstLine="0"/>
      </w:pPr>
      <w:r>
        <w:t xml:space="preserve">La siguiente imagen corresponde al informe del 12 de junio de 2020. En el informe del 21 de julio de 2020 se reporta una actualización, que corresponde al documento evaluado en la presente auditoría. </w:t>
      </w:r>
    </w:p>
    <w:p w:rsidR="0076001D" w:rsidRDefault="0034129A">
      <w:pPr>
        <w:spacing w:after="0" w:line="259" w:lineRule="auto"/>
        <w:ind w:left="0" w:firstLine="0"/>
        <w:jc w:val="left"/>
      </w:pPr>
      <w:r>
        <w:rPr>
          <w:sz w:val="18"/>
        </w:rPr>
        <w:t xml:space="preserve"> </w:t>
      </w:r>
    </w:p>
    <w:p w:rsidR="0076001D" w:rsidRDefault="0034129A">
      <w:pPr>
        <w:spacing w:after="6" w:line="259" w:lineRule="auto"/>
        <w:ind w:left="1252" w:right="-36" w:firstLine="0"/>
        <w:jc w:val="left"/>
      </w:pPr>
      <w:r>
        <w:rPr>
          <w:noProof/>
          <w:lang w:val="es-ES" w:eastAsia="es-ES"/>
        </w:rPr>
        <w:drawing>
          <wp:inline distT="0" distB="0" distL="0" distR="0">
            <wp:extent cx="5459476" cy="2407920"/>
            <wp:effectExtent l="0" t="0" r="0" b="0"/>
            <wp:docPr id="2959" name="Picture 2959"/>
            <wp:cNvGraphicFramePr/>
            <a:graphic xmlns:a="http://schemas.openxmlformats.org/drawingml/2006/main">
              <a:graphicData uri="http://schemas.openxmlformats.org/drawingml/2006/picture">
                <pic:pic xmlns:pic="http://schemas.openxmlformats.org/drawingml/2006/picture">
                  <pic:nvPicPr>
                    <pic:cNvPr id="2959" name="Picture 2959"/>
                    <pic:cNvPicPr/>
                  </pic:nvPicPr>
                  <pic:blipFill>
                    <a:blip r:embed="rId61"/>
                    <a:stretch>
                      <a:fillRect/>
                    </a:stretch>
                  </pic:blipFill>
                  <pic:spPr>
                    <a:xfrm>
                      <a:off x="0" y="0"/>
                      <a:ext cx="5459476" cy="2407920"/>
                    </a:xfrm>
                    <a:prstGeom prst="rect">
                      <a:avLst/>
                    </a:prstGeom>
                  </pic:spPr>
                </pic:pic>
              </a:graphicData>
            </a:graphic>
          </wp:inline>
        </w:drawing>
      </w:r>
    </w:p>
    <w:p w:rsidR="0076001D" w:rsidRDefault="0034129A">
      <w:pPr>
        <w:spacing w:after="0" w:line="259" w:lineRule="auto"/>
        <w:ind w:left="0" w:firstLine="0"/>
        <w:jc w:val="left"/>
      </w:pPr>
      <w:r>
        <w:rPr>
          <w:sz w:val="21"/>
        </w:rPr>
        <w:t xml:space="preserve"> </w:t>
      </w:r>
    </w:p>
    <w:p w:rsidR="0076001D" w:rsidRDefault="0034129A">
      <w:pPr>
        <w:ind w:left="1210" w:right="186" w:firstLine="0"/>
      </w:pPr>
      <w:r>
        <w:t xml:space="preserve">La consecuencia de esta ambigüedad en el entendimiento del alcance, ha repercutido en que la actualización del PETI 2020, corresponde más a un informe de actividades ejecutadas y no a una planeación bajo los lineamientos del MRAE. </w:t>
      </w:r>
    </w:p>
    <w:p w:rsidR="0076001D" w:rsidRDefault="0034129A">
      <w:pPr>
        <w:spacing w:after="0" w:line="259" w:lineRule="auto"/>
        <w:ind w:left="0" w:firstLine="0"/>
        <w:jc w:val="left"/>
      </w:pPr>
      <w:r>
        <w:rPr>
          <w:sz w:val="21"/>
        </w:rPr>
        <w:t xml:space="preserve"> </w:t>
      </w:r>
    </w:p>
    <w:p w:rsidR="0076001D" w:rsidRDefault="0034129A">
      <w:pPr>
        <w:ind w:left="914" w:right="177"/>
      </w:pPr>
      <w:r>
        <w:rPr>
          <w:noProof/>
          <w:lang w:val="es-ES" w:eastAsia="es-ES"/>
        </w:rPr>
        <w:drawing>
          <wp:inline distT="0" distB="0" distL="0" distR="0">
            <wp:extent cx="226695" cy="228511"/>
            <wp:effectExtent l="0" t="0" r="0" b="0"/>
            <wp:docPr id="2955" name="Picture 2955"/>
            <wp:cNvGraphicFramePr/>
            <a:graphic xmlns:a="http://schemas.openxmlformats.org/drawingml/2006/main">
              <a:graphicData uri="http://schemas.openxmlformats.org/drawingml/2006/picture">
                <pic:pic xmlns:pic="http://schemas.openxmlformats.org/drawingml/2006/picture">
                  <pic:nvPicPr>
                    <pic:cNvPr id="2955" name="Picture 2955"/>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El procedimiento </w:t>
      </w:r>
      <w:r>
        <w:rPr>
          <w:i/>
        </w:rPr>
        <w:t>PRO-GT-12-08 Formulación y Seguimiento al PETIC V5_0.pdf</w:t>
      </w:r>
      <w:r>
        <w:t xml:space="preserve">, no ha sido actualizado a los lineamientos de construcción de PETI del Manual de Gobierno Digital V7, el MAE.G.GEN.01 Documento Maestro del Modelo de Arquitectura Empresarial V1 y en especial la G.ES.06 Guía para la construcción del PETI versión 2,  en los documentos de referencia externos solo relaciona a NTC-ISO/IEC 27001 la cual es la norma técnica de implementación del MSPI, pero no del PETI. </w:t>
      </w:r>
    </w:p>
    <w:p w:rsidR="0076001D" w:rsidRDefault="0034129A">
      <w:pPr>
        <w:ind w:left="914"/>
      </w:pPr>
      <w:r>
        <w:rPr>
          <w:noProof/>
          <w:lang w:val="es-ES" w:eastAsia="es-ES"/>
        </w:rPr>
        <w:drawing>
          <wp:inline distT="0" distB="0" distL="0" distR="0">
            <wp:extent cx="226695" cy="228511"/>
            <wp:effectExtent l="0" t="0" r="0" b="0"/>
            <wp:docPr id="2957" name="Picture 2957"/>
            <wp:cNvGraphicFramePr/>
            <a:graphic xmlns:a="http://schemas.openxmlformats.org/drawingml/2006/main">
              <a:graphicData uri="http://schemas.openxmlformats.org/drawingml/2006/picture">
                <pic:pic xmlns:pic="http://schemas.openxmlformats.org/drawingml/2006/picture">
                  <pic:nvPicPr>
                    <pic:cNvPr id="2957" name="Picture 2957"/>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El PETI, no ha sido actualizado al nuevo Marco de Referencia de arquitectura Empresarial que modifico los dominios a los siguientes ítems. </w:t>
      </w:r>
    </w:p>
    <w:p w:rsidR="0076001D" w:rsidRDefault="0034129A">
      <w:pPr>
        <w:spacing w:after="0" w:line="259" w:lineRule="auto"/>
        <w:ind w:left="0" w:firstLine="0"/>
        <w:jc w:val="left"/>
      </w:pPr>
      <w:r>
        <w:rPr>
          <w:sz w:val="26"/>
        </w:rPr>
        <w:t xml:space="preserve"> </w:t>
      </w:r>
    </w:p>
    <w:p w:rsidR="0076001D" w:rsidRDefault="0034129A">
      <w:pPr>
        <w:spacing w:after="0" w:line="259" w:lineRule="auto"/>
        <w:ind w:left="0" w:right="420" w:firstLine="0"/>
        <w:jc w:val="right"/>
      </w:pPr>
      <w:r>
        <w:rPr>
          <w:noProof/>
          <w:lang w:val="es-ES" w:eastAsia="es-ES"/>
        </w:rPr>
        <w:lastRenderedPageBreak/>
        <w:drawing>
          <wp:inline distT="0" distB="0" distL="0" distR="0">
            <wp:extent cx="5469128" cy="2907665"/>
            <wp:effectExtent l="0" t="0" r="0" b="0"/>
            <wp:docPr id="3099" name="Picture 3099"/>
            <wp:cNvGraphicFramePr/>
            <a:graphic xmlns:a="http://schemas.openxmlformats.org/drawingml/2006/main">
              <a:graphicData uri="http://schemas.openxmlformats.org/drawingml/2006/picture">
                <pic:pic xmlns:pic="http://schemas.openxmlformats.org/drawingml/2006/picture">
                  <pic:nvPicPr>
                    <pic:cNvPr id="3099" name="Picture 3099"/>
                    <pic:cNvPicPr/>
                  </pic:nvPicPr>
                  <pic:blipFill>
                    <a:blip r:embed="rId62"/>
                    <a:stretch>
                      <a:fillRect/>
                    </a:stretch>
                  </pic:blipFill>
                  <pic:spPr>
                    <a:xfrm>
                      <a:off x="0" y="0"/>
                      <a:ext cx="5469128" cy="2907665"/>
                    </a:xfrm>
                    <a:prstGeom prst="rect">
                      <a:avLst/>
                    </a:prstGeom>
                  </pic:spPr>
                </pic:pic>
              </a:graphicData>
            </a:graphic>
          </wp:inline>
        </w:drawing>
      </w:r>
      <w:r>
        <w:rPr>
          <w:sz w:val="20"/>
        </w:rPr>
        <w:t xml:space="preserve"> </w:t>
      </w:r>
    </w:p>
    <w:p w:rsidR="0076001D" w:rsidRDefault="0034129A">
      <w:pPr>
        <w:spacing w:after="115" w:line="259" w:lineRule="auto"/>
        <w:ind w:left="0" w:firstLine="0"/>
        <w:jc w:val="left"/>
      </w:pPr>
      <w:r>
        <w:rPr>
          <w:sz w:val="18"/>
        </w:rPr>
        <w:t xml:space="preserve"> </w:t>
      </w:r>
    </w:p>
    <w:p w:rsidR="0076001D" w:rsidRDefault="0034129A">
      <w:pPr>
        <w:ind w:left="545" w:firstLine="0"/>
      </w:pPr>
      <w:r>
        <w:t xml:space="preserve">Vale aclarar que si bien, el PETI nombra 6 de los dominios no los desarrolla a cabalidad: </w:t>
      </w:r>
    </w:p>
    <w:p w:rsidR="0076001D" w:rsidRDefault="0034129A">
      <w:pPr>
        <w:spacing w:after="7" w:line="259" w:lineRule="auto"/>
        <w:ind w:left="0" w:firstLine="0"/>
        <w:jc w:val="left"/>
      </w:pPr>
      <w:r>
        <w:rPr>
          <w:sz w:val="20"/>
        </w:rPr>
        <w:t xml:space="preserve"> </w:t>
      </w:r>
    </w:p>
    <w:p w:rsidR="0076001D" w:rsidRDefault="0034129A">
      <w:pPr>
        <w:spacing w:after="0" w:line="259" w:lineRule="auto"/>
        <w:ind w:left="0" w:firstLine="0"/>
        <w:jc w:val="left"/>
      </w:pPr>
      <w:r>
        <w:t xml:space="preserve"> </w:t>
      </w:r>
    </w:p>
    <w:tbl>
      <w:tblPr>
        <w:tblStyle w:val="TableGrid"/>
        <w:tblW w:w="8980" w:type="dxa"/>
        <w:tblInd w:w="764" w:type="dxa"/>
        <w:tblCellMar>
          <w:left w:w="97" w:type="dxa"/>
          <w:bottom w:w="9" w:type="dxa"/>
          <w:right w:w="36" w:type="dxa"/>
        </w:tblCellMar>
        <w:tblLook w:val="04A0" w:firstRow="1" w:lastRow="0" w:firstColumn="1" w:lastColumn="0" w:noHBand="0" w:noVBand="1"/>
      </w:tblPr>
      <w:tblGrid>
        <w:gridCol w:w="8980"/>
      </w:tblGrid>
      <w:tr w:rsidR="0076001D">
        <w:trPr>
          <w:trHeight w:val="3708"/>
        </w:trPr>
        <w:tc>
          <w:tcPr>
            <w:tcW w:w="8980"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1" w:line="240" w:lineRule="auto"/>
              <w:ind w:left="375" w:right="56" w:hanging="375"/>
            </w:pPr>
            <w:r>
              <w:rPr>
                <w:noProof/>
                <w:lang w:val="es-ES" w:eastAsia="es-ES"/>
              </w:rPr>
              <w:drawing>
                <wp:inline distT="0" distB="0" distL="0" distR="0">
                  <wp:extent cx="228600" cy="137160"/>
                  <wp:effectExtent l="0" t="0" r="0" b="0"/>
                  <wp:docPr id="2996" name="Picture 2996"/>
                  <wp:cNvGraphicFramePr/>
                  <a:graphic xmlns:a="http://schemas.openxmlformats.org/drawingml/2006/main">
                    <a:graphicData uri="http://schemas.openxmlformats.org/drawingml/2006/picture">
                      <pic:pic xmlns:pic="http://schemas.openxmlformats.org/drawingml/2006/picture">
                        <pic:nvPicPr>
                          <pic:cNvPr id="2996" name="Picture 2996"/>
                          <pic:cNvPicPr/>
                        </pic:nvPicPr>
                        <pic:blipFill>
                          <a:blip r:embed="rId8"/>
                          <a:stretch>
                            <a:fillRect/>
                          </a:stretch>
                        </pic:blipFill>
                        <pic:spPr>
                          <a:xfrm>
                            <a:off x="0" y="0"/>
                            <a:ext cx="228600" cy="137160"/>
                          </a:xfrm>
                          <a:prstGeom prst="rect">
                            <a:avLst/>
                          </a:prstGeom>
                        </pic:spPr>
                      </pic:pic>
                    </a:graphicData>
                  </a:graphic>
                </wp:inline>
              </w:drawing>
            </w:r>
            <w:r>
              <w:rPr>
                <w:b/>
              </w:rPr>
              <w:t xml:space="preserve"> Estrategia de TI: </w:t>
            </w:r>
            <w:r>
              <w:t xml:space="preserve">falta mejorar la arquitectura misional de TI (misión, visión, indicadores y líneas estratégicas TIC). Con respecto a la articulación con el PEDI 20162020, se entiende que el PETI se encuentra alineado al Proyecto de inversión 1039: </w:t>
            </w:r>
            <w:r>
              <w:rPr>
                <w:i/>
              </w:rPr>
              <w:t xml:space="preserve">Fortalecimiento a la Gestión Institucional </w:t>
            </w:r>
            <w:r>
              <w:t xml:space="preserve">cuya meta </w:t>
            </w:r>
            <w:r>
              <w:rPr>
                <w:i/>
              </w:rPr>
              <w:t>4) es Sostener 100% la implementación del Sistema Integrado de Gestión -SIG-MIPG</w:t>
            </w:r>
            <w:r>
              <w:t xml:space="preserve">, entre los que se encuentra el Subsistema de Seguridad de la Información, lo cual es consistente con los compromisos del PETI en </w:t>
            </w:r>
            <w:r>
              <w:rPr>
                <w:i/>
              </w:rPr>
              <w:t xml:space="preserve">5.2.5 Políticas de Tecnologías de la Información y las Comunicaciones del IDEP, </w:t>
            </w:r>
            <w:r>
              <w:t>sin embargo la implementación del MSPI a pesar de su envergadura no se encuentra como un proyecto independiente entre los 5 proyectos formulados para la vigencia 2020 y los planes y políticas establecidos no dan cobertura al alcance del MSPI (</w:t>
            </w:r>
            <w:r>
              <w:rPr>
                <w:i/>
              </w:rPr>
              <w:t xml:space="preserve">PL-GT-12-04 Plan Seguridad y Privacidad de la </w:t>
            </w:r>
            <w:proofErr w:type="spellStart"/>
            <w:r>
              <w:rPr>
                <w:i/>
              </w:rPr>
              <w:t>Info</w:t>
            </w:r>
            <w:proofErr w:type="spellEnd"/>
            <w:r>
              <w:rPr>
                <w:i/>
              </w:rPr>
              <w:t xml:space="preserve"> V5.pdf, PLGT-12-05 Plan Tratamiento de riesgos </w:t>
            </w:r>
            <w:proofErr w:type="spellStart"/>
            <w:r>
              <w:rPr>
                <w:i/>
              </w:rPr>
              <w:t>info</w:t>
            </w:r>
            <w:proofErr w:type="spellEnd"/>
            <w:r>
              <w:rPr>
                <w:i/>
              </w:rPr>
              <w:t xml:space="preserve"> V5.pdf y PO-GT-12-01 Política </w:t>
            </w:r>
          </w:p>
          <w:p w:rsidR="0076001D" w:rsidRDefault="0034129A">
            <w:pPr>
              <w:spacing w:after="0" w:line="259" w:lineRule="auto"/>
              <w:ind w:left="375" w:firstLine="0"/>
            </w:pPr>
            <w:proofErr w:type="gramStart"/>
            <w:r>
              <w:rPr>
                <w:i/>
              </w:rPr>
              <w:t>seguridad</w:t>
            </w:r>
            <w:proofErr w:type="gramEnd"/>
            <w:r>
              <w:rPr>
                <w:i/>
              </w:rPr>
              <w:t xml:space="preserve"> privacidad </w:t>
            </w:r>
            <w:proofErr w:type="spellStart"/>
            <w:r>
              <w:rPr>
                <w:i/>
              </w:rPr>
              <w:t>info</w:t>
            </w:r>
            <w:proofErr w:type="spellEnd"/>
            <w:r>
              <w:rPr>
                <w:i/>
              </w:rPr>
              <w:t xml:space="preserve"> V3.pdf</w:t>
            </w:r>
            <w:r>
              <w:t xml:space="preserve">), sobre los cuales se emiten observaciones de mejora en el presente informe (3.1.3 y 3.1.4). </w:t>
            </w:r>
          </w:p>
        </w:tc>
      </w:tr>
      <w:tr w:rsidR="0076001D">
        <w:trPr>
          <w:trHeight w:val="2691"/>
        </w:trPr>
        <w:tc>
          <w:tcPr>
            <w:tcW w:w="8980"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40" w:lineRule="auto"/>
              <w:ind w:left="375" w:right="59" w:hanging="375"/>
            </w:pPr>
            <w:r>
              <w:rPr>
                <w:noProof/>
                <w:lang w:val="es-ES" w:eastAsia="es-ES"/>
              </w:rPr>
              <w:drawing>
                <wp:inline distT="0" distB="0" distL="0" distR="0">
                  <wp:extent cx="227965" cy="136779"/>
                  <wp:effectExtent l="0" t="0" r="0" b="0"/>
                  <wp:docPr id="2998" name="Picture 2998"/>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8"/>
                          <a:stretch>
                            <a:fillRect/>
                          </a:stretch>
                        </pic:blipFill>
                        <pic:spPr>
                          <a:xfrm>
                            <a:off x="0" y="0"/>
                            <a:ext cx="227965" cy="136779"/>
                          </a:xfrm>
                          <a:prstGeom prst="rect">
                            <a:avLst/>
                          </a:prstGeom>
                        </pic:spPr>
                      </pic:pic>
                    </a:graphicData>
                  </a:graphic>
                </wp:inline>
              </w:drawing>
            </w:r>
            <w:r>
              <w:t xml:space="preserve"> En cuanto al </w:t>
            </w:r>
            <w:r>
              <w:rPr>
                <w:b/>
              </w:rPr>
              <w:t>Gobierno de TI</w:t>
            </w:r>
            <w:r>
              <w:t xml:space="preserve">, el instituto ha instaurado de manera correcta el Comité de Sistemas, Informática y de Seguridad de la Información -Resolución 159 de 2009, el cual se incorpora al Comité Institucional de Gestión y Desempeño conforme la Resolución No. 0214 de 2019, que opera como órgano decisorio en materia de inversión TIC. El PETIC incluye la matriz de roles en la cual se establecen las responsabilidades, pero es preciso determinar que cada persona asignada tenga los conocimientos tecnológicos requeridos para el Rol, tal es el caso del Oficial de </w:t>
            </w:r>
          </w:p>
          <w:p w:rsidR="0076001D" w:rsidRDefault="0034129A">
            <w:pPr>
              <w:tabs>
                <w:tab w:val="center" w:pos="877"/>
                <w:tab w:val="center" w:pos="1777"/>
                <w:tab w:val="center" w:pos="2322"/>
                <w:tab w:val="center" w:pos="3406"/>
                <w:tab w:val="center" w:pos="4472"/>
                <w:tab w:val="center" w:pos="5417"/>
                <w:tab w:val="center" w:pos="6365"/>
                <w:tab w:val="center" w:pos="6915"/>
                <w:tab w:val="center" w:pos="7701"/>
                <w:tab w:val="right" w:pos="8847"/>
              </w:tabs>
              <w:spacing w:after="0" w:line="259" w:lineRule="auto"/>
              <w:ind w:left="0" w:firstLine="0"/>
              <w:jc w:val="left"/>
            </w:pPr>
            <w:r>
              <w:rPr>
                <w:rFonts w:ascii="Calibri" w:eastAsia="Calibri" w:hAnsi="Calibri" w:cs="Calibri"/>
              </w:rPr>
              <w:tab/>
            </w:r>
            <w:r>
              <w:t xml:space="preserve">Seguridad </w:t>
            </w:r>
            <w:r>
              <w:tab/>
              <w:t xml:space="preserve">y </w:t>
            </w:r>
            <w:r>
              <w:tab/>
              <w:t xml:space="preserve">del </w:t>
            </w:r>
            <w:r>
              <w:tab/>
              <w:t xml:space="preserve">responsable </w:t>
            </w:r>
            <w:r>
              <w:tab/>
              <w:t xml:space="preserve">de </w:t>
            </w:r>
            <w:r>
              <w:tab/>
              <w:t xml:space="preserve">seguridad </w:t>
            </w:r>
            <w:r>
              <w:tab/>
              <w:t xml:space="preserve">en </w:t>
            </w:r>
            <w:r>
              <w:tab/>
              <w:t xml:space="preserve">la </w:t>
            </w:r>
            <w:r>
              <w:tab/>
              <w:t xml:space="preserve">entidad </w:t>
            </w:r>
            <w:r>
              <w:tab/>
              <w:t xml:space="preserve">(ver </w:t>
            </w:r>
          </w:p>
          <w:p w:rsidR="0076001D" w:rsidRDefault="0034129A">
            <w:pPr>
              <w:spacing w:after="0" w:line="259" w:lineRule="auto"/>
              <w:ind w:left="314" w:firstLine="0"/>
              <w:jc w:val="center"/>
            </w:pPr>
            <w:r>
              <w:t xml:space="preserve">G4_Roles_responsabilidades.pdf). Cabe anotar que las responsabilidades  asignadas a control interno corresponden parcialmente con los lineamientos MSPI, toda vez que </w:t>
            </w:r>
          </w:p>
        </w:tc>
      </w:tr>
    </w:tbl>
    <w:p w:rsidR="0076001D" w:rsidRDefault="0034129A">
      <w:pPr>
        <w:spacing w:after="0" w:line="259" w:lineRule="auto"/>
        <w:ind w:left="0" w:firstLine="0"/>
        <w:jc w:val="left"/>
      </w:pPr>
      <w:r>
        <w:t xml:space="preserve"> </w:t>
      </w:r>
    </w:p>
    <w:tbl>
      <w:tblPr>
        <w:tblStyle w:val="TableGrid"/>
        <w:tblW w:w="8980" w:type="dxa"/>
        <w:tblInd w:w="764" w:type="dxa"/>
        <w:tblCellMar>
          <w:top w:w="11" w:type="dxa"/>
          <w:left w:w="97" w:type="dxa"/>
          <w:bottom w:w="9" w:type="dxa"/>
          <w:right w:w="37" w:type="dxa"/>
        </w:tblCellMar>
        <w:tblLook w:val="04A0" w:firstRow="1" w:lastRow="0" w:firstColumn="1" w:lastColumn="0" w:noHBand="0" w:noVBand="1"/>
      </w:tblPr>
      <w:tblGrid>
        <w:gridCol w:w="8980"/>
      </w:tblGrid>
      <w:tr w:rsidR="0076001D">
        <w:trPr>
          <w:trHeight w:val="1274"/>
        </w:trPr>
        <w:tc>
          <w:tcPr>
            <w:tcW w:w="898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375" w:right="65" w:firstLine="0"/>
            </w:pPr>
            <w:proofErr w:type="gramStart"/>
            <w:r>
              <w:lastRenderedPageBreak/>
              <w:t>al</w:t>
            </w:r>
            <w:proofErr w:type="gramEnd"/>
            <w:r>
              <w:t xml:space="preserve"> estar basado en una </w:t>
            </w:r>
            <w:proofErr w:type="spellStart"/>
            <w:r>
              <w:t>normal</w:t>
            </w:r>
            <w:proofErr w:type="spellEnd"/>
            <w:r>
              <w:t xml:space="preserve"> ISO es aplicable la responsabilidad de las clausulas 9. Evaluación y desempeño y 10. Mejora, con respecto a la ejecución de auditorías internas y el seguimiento a la atención de no conformidades y mejoramiento. Falta la inclusión de gestión de calidad como articulador de las normas ISO 9001 e IO 27001 en el SIG. </w:t>
            </w:r>
          </w:p>
        </w:tc>
      </w:tr>
      <w:tr w:rsidR="0076001D">
        <w:trPr>
          <w:trHeight w:val="1428"/>
        </w:trPr>
        <w:tc>
          <w:tcPr>
            <w:tcW w:w="8980"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59" w:lineRule="auto"/>
              <w:ind w:left="375" w:right="61" w:hanging="375"/>
            </w:pPr>
            <w:r>
              <w:rPr>
                <w:noProof/>
                <w:lang w:val="es-ES" w:eastAsia="es-ES"/>
              </w:rPr>
              <w:drawing>
                <wp:inline distT="0" distB="0" distL="0" distR="0">
                  <wp:extent cx="227546" cy="136525"/>
                  <wp:effectExtent l="0" t="0" r="0" b="0"/>
                  <wp:docPr id="3148" name="Picture 3148"/>
                  <wp:cNvGraphicFramePr/>
                  <a:graphic xmlns:a="http://schemas.openxmlformats.org/drawingml/2006/main">
                    <a:graphicData uri="http://schemas.openxmlformats.org/drawingml/2006/picture">
                      <pic:pic xmlns:pic="http://schemas.openxmlformats.org/drawingml/2006/picture">
                        <pic:nvPicPr>
                          <pic:cNvPr id="3148" name="Picture 3148"/>
                          <pic:cNvPicPr/>
                        </pic:nvPicPr>
                        <pic:blipFill>
                          <a:blip r:embed="rId8"/>
                          <a:stretch>
                            <a:fillRect/>
                          </a:stretch>
                        </pic:blipFill>
                        <pic:spPr>
                          <a:xfrm>
                            <a:off x="0" y="0"/>
                            <a:ext cx="227546" cy="136525"/>
                          </a:xfrm>
                          <a:prstGeom prst="rect">
                            <a:avLst/>
                          </a:prstGeom>
                        </pic:spPr>
                      </pic:pic>
                    </a:graphicData>
                  </a:graphic>
                </wp:inline>
              </w:drawing>
            </w:r>
            <w:r>
              <w:rPr>
                <w:b/>
              </w:rPr>
              <w:t xml:space="preserve"> Uso y apropiación de TI</w:t>
            </w:r>
            <w:r>
              <w:t xml:space="preserve">: el dominio </w:t>
            </w:r>
            <w:proofErr w:type="spellStart"/>
            <w:r>
              <w:t>esta</w:t>
            </w:r>
            <w:proofErr w:type="spellEnd"/>
            <w:r>
              <w:t xml:space="preserve"> relacionado </w:t>
            </w:r>
            <w:proofErr w:type="gramStart"/>
            <w:r>
              <w:t>mas</w:t>
            </w:r>
            <w:proofErr w:type="gramEnd"/>
            <w:r>
              <w:t xml:space="preserve"> no desarrollado en articulación con el Plan de capacitación Institucional y la </w:t>
            </w:r>
            <w:proofErr w:type="spellStart"/>
            <w:r>
              <w:t>Clausula</w:t>
            </w:r>
            <w:proofErr w:type="spellEnd"/>
            <w:r>
              <w:t xml:space="preserve"> 7. SOPORTE del MSPI. De igual manera los indicadores planteados en el PETIC no incluyen medición del uso y apropiación de TI y no hay planes de Gestión y de Transferencia de conocimiento. </w:t>
            </w:r>
          </w:p>
        </w:tc>
      </w:tr>
      <w:tr w:rsidR="0076001D">
        <w:trPr>
          <w:trHeight w:val="1685"/>
        </w:trPr>
        <w:tc>
          <w:tcPr>
            <w:tcW w:w="8980"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59" w:lineRule="auto"/>
              <w:ind w:left="375" w:right="60" w:hanging="375"/>
            </w:pPr>
            <w:r>
              <w:rPr>
                <w:noProof/>
                <w:lang w:val="es-ES" w:eastAsia="es-ES"/>
              </w:rPr>
              <w:drawing>
                <wp:inline distT="0" distB="0" distL="0" distR="0">
                  <wp:extent cx="227546" cy="136525"/>
                  <wp:effectExtent l="0" t="0" r="0" b="0"/>
                  <wp:docPr id="3150" name="Picture 3150"/>
                  <wp:cNvGraphicFramePr/>
                  <a:graphic xmlns:a="http://schemas.openxmlformats.org/drawingml/2006/main">
                    <a:graphicData uri="http://schemas.openxmlformats.org/drawingml/2006/picture">
                      <pic:pic xmlns:pic="http://schemas.openxmlformats.org/drawingml/2006/picture">
                        <pic:nvPicPr>
                          <pic:cNvPr id="3150" name="Picture 3150"/>
                          <pic:cNvPicPr/>
                        </pic:nvPicPr>
                        <pic:blipFill>
                          <a:blip r:embed="rId8"/>
                          <a:stretch>
                            <a:fillRect/>
                          </a:stretch>
                        </pic:blipFill>
                        <pic:spPr>
                          <a:xfrm>
                            <a:off x="0" y="0"/>
                            <a:ext cx="227546" cy="136525"/>
                          </a:xfrm>
                          <a:prstGeom prst="rect">
                            <a:avLst/>
                          </a:prstGeom>
                        </pic:spPr>
                      </pic:pic>
                    </a:graphicData>
                  </a:graphic>
                </wp:inline>
              </w:drawing>
            </w:r>
            <w:r>
              <w:t xml:space="preserve"> En el capítulo de </w:t>
            </w:r>
            <w:r>
              <w:rPr>
                <w:b/>
              </w:rPr>
              <w:t xml:space="preserve">sistemas de información </w:t>
            </w:r>
            <w:r>
              <w:t xml:space="preserve">se listan los actualmente existentes, pero no se desarrolla el dominio siguiendo los lineamientos (MRAE) en cuanto a la construcción de un modelo metodológico de estandarización, gestión de cambios y apropiación del control, mantenimiento y conocimiento. Este componente es relevante en la entidad ya que se observa una alta dependencia de conocimiento y control de los proveedores sobre los sistemas Humano y GOBBI. </w:t>
            </w:r>
          </w:p>
        </w:tc>
      </w:tr>
      <w:tr w:rsidR="0076001D">
        <w:trPr>
          <w:trHeight w:val="2436"/>
        </w:trPr>
        <w:tc>
          <w:tcPr>
            <w:tcW w:w="8980"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59" w:lineRule="auto"/>
              <w:ind w:left="375" w:right="60" w:hanging="375"/>
            </w:pPr>
            <w:r>
              <w:rPr>
                <w:noProof/>
                <w:lang w:val="es-ES" w:eastAsia="es-ES"/>
              </w:rPr>
              <w:drawing>
                <wp:inline distT="0" distB="0" distL="0" distR="0">
                  <wp:extent cx="228600" cy="137160"/>
                  <wp:effectExtent l="0" t="0" r="0" b="0"/>
                  <wp:docPr id="3152" name="Picture 3152"/>
                  <wp:cNvGraphicFramePr/>
                  <a:graphic xmlns:a="http://schemas.openxmlformats.org/drawingml/2006/main">
                    <a:graphicData uri="http://schemas.openxmlformats.org/drawingml/2006/picture">
                      <pic:pic xmlns:pic="http://schemas.openxmlformats.org/drawingml/2006/picture">
                        <pic:nvPicPr>
                          <pic:cNvPr id="3152" name="Picture 3152"/>
                          <pic:cNvPicPr/>
                        </pic:nvPicPr>
                        <pic:blipFill>
                          <a:blip r:embed="rId8"/>
                          <a:stretch>
                            <a:fillRect/>
                          </a:stretch>
                        </pic:blipFill>
                        <pic:spPr>
                          <a:xfrm>
                            <a:off x="0" y="0"/>
                            <a:ext cx="228600" cy="137160"/>
                          </a:xfrm>
                          <a:prstGeom prst="rect">
                            <a:avLst/>
                          </a:prstGeom>
                        </pic:spPr>
                      </pic:pic>
                    </a:graphicData>
                  </a:graphic>
                </wp:inline>
              </w:drawing>
            </w:r>
            <w:r>
              <w:t xml:space="preserve"> El dominio de </w:t>
            </w:r>
            <w:r>
              <w:rPr>
                <w:b/>
              </w:rPr>
              <w:t xml:space="preserve">Servicios Tecnológicos </w:t>
            </w:r>
            <w:r>
              <w:t xml:space="preserve">muestra una descripción de las mejoras realizadas a la plataforma tecnológica desde el año 2017, las condiciones de conectividad y el modelo de administración, sin embargo, no está desarrollada conforme a los lineamientos (MRAE) la estructura de modelo de servicios tecnológicos con su correspondiente planeación de capacidad, documentación suficiente de operación e infraestructura y mesa de servicios TIC centralizada con ANS y articulación de terceros. Finalmente, </w:t>
            </w:r>
            <w:proofErr w:type="gramStart"/>
            <w:r>
              <w:t>el</w:t>
            </w:r>
            <w:proofErr w:type="gramEnd"/>
            <w:r>
              <w:t xml:space="preserve"> numeral 5.5.3 Información Vigencia de Servicios, Soportes, Garantías y otros, no incluye todos los servicios y/o productos contratados o todos los terceros que intervienen en los servicios tecnológicos. </w:t>
            </w:r>
          </w:p>
        </w:tc>
      </w:tr>
      <w:tr w:rsidR="0076001D">
        <w:trPr>
          <w:trHeight w:val="1433"/>
        </w:trPr>
        <w:tc>
          <w:tcPr>
            <w:tcW w:w="8980"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41" w:lineRule="auto"/>
              <w:ind w:left="375" w:right="59" w:hanging="375"/>
            </w:pPr>
            <w:r>
              <w:rPr>
                <w:noProof/>
                <w:lang w:val="es-ES" w:eastAsia="es-ES"/>
              </w:rPr>
              <w:drawing>
                <wp:inline distT="0" distB="0" distL="0" distR="0">
                  <wp:extent cx="228600" cy="137160"/>
                  <wp:effectExtent l="0" t="0" r="0" b="0"/>
                  <wp:docPr id="3154" name="Picture 3154"/>
                  <wp:cNvGraphicFramePr/>
                  <a:graphic xmlns:a="http://schemas.openxmlformats.org/drawingml/2006/main">
                    <a:graphicData uri="http://schemas.openxmlformats.org/drawingml/2006/picture">
                      <pic:pic xmlns:pic="http://schemas.openxmlformats.org/drawingml/2006/picture">
                        <pic:nvPicPr>
                          <pic:cNvPr id="3154" name="Picture 3154"/>
                          <pic:cNvPicPr/>
                        </pic:nvPicPr>
                        <pic:blipFill>
                          <a:blip r:embed="rId8"/>
                          <a:stretch>
                            <a:fillRect/>
                          </a:stretch>
                        </pic:blipFill>
                        <pic:spPr>
                          <a:xfrm>
                            <a:off x="0" y="0"/>
                            <a:ext cx="228600" cy="137160"/>
                          </a:xfrm>
                          <a:prstGeom prst="rect">
                            <a:avLst/>
                          </a:prstGeom>
                        </pic:spPr>
                      </pic:pic>
                    </a:graphicData>
                  </a:graphic>
                </wp:inline>
              </w:drawing>
            </w:r>
            <w:r>
              <w:rPr>
                <w:b/>
              </w:rPr>
              <w:t xml:space="preserve"> Gestión de Información</w:t>
            </w:r>
            <w:r>
              <w:t xml:space="preserve">: este dominio no ha sido desarrollado, y es el que permite definir: el diseño de los servicios de información, la gestión del ciclo de vida del dato, al análisis de información y el desarrollo de capacidades para el uso estratégico de la misma mediante el desarrollo de los 4 componentes de información: </w:t>
            </w:r>
          </w:p>
          <w:p w:rsidR="0076001D" w:rsidRDefault="0034129A">
            <w:pPr>
              <w:spacing w:after="0" w:line="259" w:lineRule="auto"/>
              <w:ind w:left="34" w:firstLine="0"/>
              <w:jc w:val="center"/>
            </w:pPr>
            <w:r>
              <w:t xml:space="preserve">Planeación y Gobierno, Diseño, Análisis y Aprovechamiento y Calidad y Seguridad. </w:t>
            </w:r>
          </w:p>
        </w:tc>
      </w:tr>
    </w:tbl>
    <w:p w:rsidR="0076001D" w:rsidRDefault="0034129A">
      <w:pPr>
        <w:spacing w:after="57" w:line="259" w:lineRule="auto"/>
        <w:ind w:left="0" w:firstLine="0"/>
        <w:jc w:val="left"/>
      </w:pPr>
      <w:r>
        <w:rPr>
          <w:sz w:val="20"/>
        </w:rPr>
        <w:t xml:space="preserve"> </w:t>
      </w:r>
    </w:p>
    <w:p w:rsidR="0076001D" w:rsidRDefault="0034129A">
      <w:pPr>
        <w:spacing w:after="0" w:line="259" w:lineRule="auto"/>
        <w:ind w:left="0" w:right="8956" w:firstLine="0"/>
        <w:jc w:val="left"/>
      </w:pPr>
      <w:r>
        <w:rPr>
          <w:sz w:val="27"/>
        </w:rPr>
        <w:t xml:space="preserve"> </w:t>
      </w:r>
    </w:p>
    <w:p w:rsidR="0076001D" w:rsidRDefault="0034129A">
      <w:pPr>
        <w:spacing w:after="26" w:line="247" w:lineRule="auto"/>
        <w:ind w:left="857" w:right="160" w:hanging="371"/>
      </w:pPr>
      <w:r>
        <w:rPr>
          <w:noProof/>
          <w:lang w:val="es-ES" w:eastAsia="es-ES"/>
        </w:rPr>
        <w:drawing>
          <wp:inline distT="0" distB="0" distL="0" distR="0">
            <wp:extent cx="226695" cy="228511"/>
            <wp:effectExtent l="0" t="0" r="0" b="0"/>
            <wp:docPr id="3311" name="Picture 3311"/>
            <wp:cNvGraphicFramePr/>
            <a:graphic xmlns:a="http://schemas.openxmlformats.org/drawingml/2006/main">
              <a:graphicData uri="http://schemas.openxmlformats.org/drawingml/2006/picture">
                <pic:pic xmlns:pic="http://schemas.openxmlformats.org/drawingml/2006/picture">
                  <pic:nvPicPr>
                    <pic:cNvPr id="3311" name="Picture 3311"/>
                    <pic:cNvPicPr/>
                  </pic:nvPicPr>
                  <pic:blipFill>
                    <a:blip r:embed="rId60"/>
                    <a:stretch>
                      <a:fillRect/>
                    </a:stretch>
                  </pic:blipFill>
                  <pic:spPr>
                    <a:xfrm>
                      <a:off x="0" y="0"/>
                      <a:ext cx="226695" cy="228511"/>
                    </a:xfrm>
                    <a:prstGeom prst="rect">
                      <a:avLst/>
                    </a:prstGeom>
                  </pic:spPr>
                </pic:pic>
              </a:graphicData>
            </a:graphic>
          </wp:inline>
        </w:drawing>
      </w:r>
      <w:r>
        <w:t xml:space="preserve"> Con respecto seguimiento y evaluación de Gobierno Digital, el PETIC declara tres indicadores de gestión, que resultan insuficientes para medir cumplimiento y resultado, con un enfoque de mejoramiento continuo, que es una de las premisas del Manual de Gobierno Digital V7</w:t>
      </w:r>
      <w:r>
        <w:rPr>
          <w:i/>
        </w:rPr>
        <w:t xml:space="preserve">: Todas las entidades públicas deben desarrollar una cultura de evaluación y seguimiento al desempeño, capacidad, efectividad, costos, pertenencia y demás criterios de calidad que se definan para medir la ejecución de los proyectos que hagan uso de TIC. Para ello deben definir indicadores de proceso, resultado e impacto, realizar medición, publicar resultados y a partir de estos, iniciar acciones correctivas o de mejora continua. </w:t>
      </w:r>
      <w:r>
        <w:t xml:space="preserve">A continuación, se emiten las observaciones puntuales con base en el PETIC y en el archivo INDICADORES GT 2020 II.xls. </w:t>
      </w:r>
    </w:p>
    <w:p w:rsidR="0076001D" w:rsidRDefault="0034129A">
      <w:pPr>
        <w:spacing w:after="22" w:line="259" w:lineRule="auto"/>
        <w:ind w:left="0" w:firstLine="0"/>
      </w:pPr>
      <w:r>
        <w:rPr>
          <w:rFonts w:ascii="Times New Roman" w:eastAsia="Times New Roman" w:hAnsi="Times New Roman" w:cs="Times New Roman"/>
          <w:sz w:val="20"/>
        </w:rPr>
        <w:t xml:space="preserve"> </w:t>
      </w:r>
    </w:p>
    <w:p w:rsidR="0076001D" w:rsidRDefault="0034129A">
      <w:pPr>
        <w:spacing w:after="0" w:line="259" w:lineRule="auto"/>
        <w:ind w:left="0" w:firstLine="0"/>
      </w:pPr>
      <w:r>
        <w:rPr>
          <w:rFonts w:ascii="Times New Roman" w:eastAsia="Times New Roman" w:hAnsi="Times New Roman" w:cs="Times New Roman"/>
          <w:sz w:val="24"/>
        </w:rPr>
        <w:t xml:space="preserve"> </w:t>
      </w:r>
    </w:p>
    <w:tbl>
      <w:tblPr>
        <w:tblStyle w:val="TableGrid"/>
        <w:tblW w:w="9340" w:type="dxa"/>
        <w:tblInd w:w="404" w:type="dxa"/>
        <w:tblCellMar>
          <w:top w:w="5" w:type="dxa"/>
          <w:left w:w="5" w:type="dxa"/>
          <w:bottom w:w="9" w:type="dxa"/>
          <w:right w:w="43" w:type="dxa"/>
        </w:tblCellMar>
        <w:tblLook w:val="04A0" w:firstRow="1" w:lastRow="0" w:firstColumn="1" w:lastColumn="0" w:noHBand="0" w:noVBand="1"/>
      </w:tblPr>
      <w:tblGrid>
        <w:gridCol w:w="2521"/>
        <w:gridCol w:w="6819"/>
      </w:tblGrid>
      <w:tr w:rsidR="0076001D">
        <w:trPr>
          <w:trHeight w:val="703"/>
        </w:trPr>
        <w:tc>
          <w:tcPr>
            <w:tcW w:w="252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b/>
                <w:sz w:val="20"/>
              </w:rPr>
              <w:lastRenderedPageBreak/>
              <w:t xml:space="preserve">INDICADOR </w:t>
            </w:r>
          </w:p>
          <w:p w:rsidR="0076001D" w:rsidRDefault="0034129A">
            <w:pPr>
              <w:spacing w:after="0" w:line="259" w:lineRule="auto"/>
              <w:ind w:left="108" w:firstLine="0"/>
              <w:jc w:val="left"/>
            </w:pPr>
            <w:r>
              <w:rPr>
                <w:b/>
                <w:sz w:val="20"/>
              </w:rPr>
              <w:t xml:space="preserve">DESCRIPCIÓN </w:t>
            </w:r>
            <w:r>
              <w:rPr>
                <w:b/>
                <w:sz w:val="20"/>
              </w:rPr>
              <w:tab/>
              <w:t xml:space="preserve">DEL INDICADOR </w:t>
            </w:r>
          </w:p>
        </w:tc>
        <w:tc>
          <w:tcPr>
            <w:tcW w:w="681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b/>
                <w:sz w:val="20"/>
              </w:rPr>
              <w:t xml:space="preserve">OBSERVACION AUDITORIA </w:t>
            </w:r>
          </w:p>
        </w:tc>
      </w:tr>
      <w:tr w:rsidR="0076001D">
        <w:trPr>
          <w:trHeight w:val="4894"/>
        </w:trPr>
        <w:tc>
          <w:tcPr>
            <w:tcW w:w="252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65" w:firstLine="0"/>
            </w:pPr>
            <w:r>
              <w:rPr>
                <w:b/>
                <w:sz w:val="20"/>
              </w:rPr>
              <w:t>Eficacia en la atención de solicitudes recibidas a través de mesa de ayuda</w:t>
            </w:r>
            <w:r>
              <w:rPr>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08" w:right="50" w:firstLine="0"/>
            </w:pPr>
            <w:r>
              <w:rPr>
                <w:sz w:val="20"/>
              </w:rPr>
              <w:t xml:space="preserve">Conocer qué porcentaje de las solicitudes presentadas por los usuarios internos del IDEP a través de la mesa de ayuda son atendidas y cerradas en el mismo periodo de tiempo e identificar qué tipo de solicitud se recibe de manera más recurrente </w:t>
            </w:r>
          </w:p>
        </w:tc>
        <w:tc>
          <w:tcPr>
            <w:tcW w:w="681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El indicador presenta las siguientes debilidades: </w:t>
            </w:r>
          </w:p>
          <w:p w:rsidR="0076001D" w:rsidRDefault="0034129A">
            <w:pPr>
              <w:spacing w:after="0" w:line="241" w:lineRule="auto"/>
              <w:ind w:left="468" w:right="58" w:hanging="365"/>
            </w:pPr>
            <w:r>
              <w:rPr>
                <w:noProof/>
                <w:lang w:val="es-ES" w:eastAsia="es-ES"/>
              </w:rPr>
              <w:drawing>
                <wp:inline distT="0" distB="0" distL="0" distR="0">
                  <wp:extent cx="226695" cy="228511"/>
                  <wp:effectExtent l="0" t="0" r="0" b="0"/>
                  <wp:docPr id="3552" name="Picture 3552"/>
                  <wp:cNvGraphicFramePr/>
                  <a:graphic xmlns:a="http://schemas.openxmlformats.org/drawingml/2006/main">
                    <a:graphicData uri="http://schemas.openxmlformats.org/drawingml/2006/picture">
                      <pic:pic xmlns:pic="http://schemas.openxmlformats.org/drawingml/2006/picture">
                        <pic:nvPicPr>
                          <pic:cNvPr id="3552" name="Picture 3552"/>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rPr>
                <w:sz w:val="20"/>
              </w:rPr>
              <w:t xml:space="preserve">No da cobertura al concepto de cumplimiento toda vez que son los </w:t>
            </w:r>
            <w:proofErr w:type="spellStart"/>
            <w:r>
              <w:rPr>
                <w:sz w:val="20"/>
              </w:rPr>
              <w:t>SLA´s</w:t>
            </w:r>
            <w:proofErr w:type="spellEnd"/>
            <w:r>
              <w:rPr>
                <w:sz w:val="20"/>
              </w:rPr>
              <w:t xml:space="preserve"> o ANS los que determinan las condiciones de cumplimiento de soporte del dominio de servicios tecnológicos, y estos no están configurados en la herramienta actual y el indicador no los incorpora en su medición. (</w:t>
            </w:r>
            <w:proofErr w:type="gramStart"/>
            <w:r>
              <w:rPr>
                <w:sz w:val="20"/>
              </w:rPr>
              <w:t>ver</w:t>
            </w:r>
            <w:proofErr w:type="gramEnd"/>
            <w:r>
              <w:rPr>
                <w:sz w:val="20"/>
              </w:rPr>
              <w:t xml:space="preserve"> indicadores G.ST.01 Guía del dominio de Servicios Tecnológicos). Esto significa que el indicador mide que los incidentes se hayan cerrado, pero no las condiciones de calidad en términos de tiempos y satisfacción del resultado. </w:t>
            </w:r>
          </w:p>
          <w:p w:rsidR="0076001D" w:rsidRDefault="0034129A">
            <w:pPr>
              <w:spacing w:after="171" w:line="241" w:lineRule="auto"/>
              <w:ind w:left="468" w:right="65" w:hanging="365"/>
            </w:pPr>
            <w:r>
              <w:rPr>
                <w:noProof/>
                <w:lang w:val="es-ES" w:eastAsia="es-ES"/>
              </w:rPr>
              <w:drawing>
                <wp:anchor distT="0" distB="0" distL="114300" distR="114300" simplePos="0" relativeHeight="251660288" behindDoc="0" locked="0" layoutInCell="1" allowOverlap="0">
                  <wp:simplePos x="0" y="0"/>
                  <wp:positionH relativeFrom="column">
                    <wp:posOffset>68453</wp:posOffset>
                  </wp:positionH>
                  <wp:positionV relativeFrom="paragraph">
                    <wp:posOffset>985774</wp:posOffset>
                  </wp:positionV>
                  <wp:extent cx="226695" cy="228511"/>
                  <wp:effectExtent l="0" t="0" r="0" b="0"/>
                  <wp:wrapSquare wrapText="bothSides"/>
                  <wp:docPr id="3556" name="Picture 3556"/>
                  <wp:cNvGraphicFramePr/>
                  <a:graphic xmlns:a="http://schemas.openxmlformats.org/drawingml/2006/main">
                    <a:graphicData uri="http://schemas.openxmlformats.org/drawingml/2006/picture">
                      <pic:pic xmlns:pic="http://schemas.openxmlformats.org/drawingml/2006/picture">
                        <pic:nvPicPr>
                          <pic:cNvPr id="3556" name="Picture 3556"/>
                          <pic:cNvPicPr/>
                        </pic:nvPicPr>
                        <pic:blipFill>
                          <a:blip r:embed="rId60"/>
                          <a:stretch>
                            <a:fillRect/>
                          </a:stretch>
                        </pic:blipFill>
                        <pic:spPr>
                          <a:xfrm>
                            <a:off x="0" y="0"/>
                            <a:ext cx="226695" cy="228511"/>
                          </a:xfrm>
                          <a:prstGeom prst="rect">
                            <a:avLst/>
                          </a:prstGeom>
                        </pic:spPr>
                      </pic:pic>
                    </a:graphicData>
                  </a:graphic>
                </wp:anchor>
              </w:drawing>
            </w:r>
            <w:r>
              <w:rPr>
                <w:noProof/>
                <w:lang w:val="es-ES" w:eastAsia="es-ES"/>
              </w:rPr>
              <w:drawing>
                <wp:inline distT="0" distB="0" distL="0" distR="0">
                  <wp:extent cx="226695" cy="228511"/>
                  <wp:effectExtent l="0" t="0" r="0" b="0"/>
                  <wp:docPr id="3554" name="Picture 3554"/>
                  <wp:cNvGraphicFramePr/>
                  <a:graphic xmlns:a="http://schemas.openxmlformats.org/drawingml/2006/main">
                    <a:graphicData uri="http://schemas.openxmlformats.org/drawingml/2006/picture">
                      <pic:pic xmlns:pic="http://schemas.openxmlformats.org/drawingml/2006/picture">
                        <pic:nvPicPr>
                          <pic:cNvPr id="3554" name="Picture 3554"/>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rPr>
                <w:sz w:val="20"/>
              </w:rPr>
              <w:t xml:space="preserve">No da cobertura a los servicios tecnológicos declarados en el PETI, toda vez que tanto los soportes de Humano como de GOOBI y en general de terceros responsables, son direccionados a los proveedores sin que sean previamente registrados en </w:t>
            </w:r>
            <w:proofErr w:type="spellStart"/>
            <w:r>
              <w:rPr>
                <w:sz w:val="20"/>
              </w:rPr>
              <w:t>OSTicket</w:t>
            </w:r>
            <w:proofErr w:type="spellEnd"/>
            <w:r>
              <w:rPr>
                <w:sz w:val="20"/>
              </w:rPr>
              <w:t xml:space="preserve">. Esto significa que el indicador mide únicamente los incidentes de soporte interno y no el modelo de servicios tecnológicos. </w:t>
            </w:r>
          </w:p>
          <w:p w:rsidR="0076001D" w:rsidRDefault="0034129A">
            <w:pPr>
              <w:spacing w:after="0" w:line="259" w:lineRule="auto"/>
              <w:ind w:left="110" w:right="65" w:hanging="7"/>
            </w:pPr>
            <w:r>
              <w:rPr>
                <w:rFonts w:ascii="Times New Roman" w:eastAsia="Times New Roman" w:hAnsi="Times New Roman" w:cs="Times New Roman"/>
                <w:sz w:val="20"/>
              </w:rPr>
              <w:t xml:space="preserve">       </w:t>
            </w:r>
            <w:r>
              <w:rPr>
                <w:sz w:val="20"/>
              </w:rPr>
              <w:t xml:space="preserve">Dado que la medición no incorpora elementos de efectividad y calidad, no es base suficiente para que el indicador aporte valor de mejora continua a </w:t>
            </w:r>
            <w:proofErr w:type="gramStart"/>
            <w:r>
              <w:rPr>
                <w:sz w:val="20"/>
              </w:rPr>
              <w:t>servicio tecnológicos gestionados</w:t>
            </w:r>
            <w:proofErr w:type="gramEnd"/>
            <w:r>
              <w:rPr>
                <w:sz w:val="20"/>
              </w:rPr>
              <w:t xml:space="preserve"> de manera interna y/o con terceros. </w:t>
            </w:r>
          </w:p>
        </w:tc>
      </w:tr>
      <w:tr w:rsidR="0076001D">
        <w:trPr>
          <w:trHeight w:val="4986"/>
        </w:trPr>
        <w:tc>
          <w:tcPr>
            <w:tcW w:w="252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2" w:lineRule="auto"/>
              <w:ind w:left="108" w:firstLine="0"/>
            </w:pPr>
            <w:r>
              <w:rPr>
                <w:b/>
                <w:sz w:val="20"/>
              </w:rPr>
              <w:t xml:space="preserve">Cumplimiento de las actividades del plan </w:t>
            </w:r>
          </w:p>
          <w:p w:rsidR="0076001D" w:rsidRDefault="0034129A">
            <w:pPr>
              <w:spacing w:after="1" w:line="241" w:lineRule="auto"/>
              <w:ind w:left="108" w:right="55" w:firstLine="0"/>
            </w:pPr>
            <w:proofErr w:type="gramStart"/>
            <w:r>
              <w:rPr>
                <w:b/>
                <w:sz w:val="20"/>
              </w:rPr>
              <w:t>estratégico</w:t>
            </w:r>
            <w:proofErr w:type="gramEnd"/>
            <w:r>
              <w:rPr>
                <w:b/>
                <w:sz w:val="20"/>
              </w:rPr>
              <w:t xml:space="preserve"> de tecnologías de la información y las comunicaciones PETI en la vigencia</w:t>
            </w:r>
            <w:r>
              <w:rPr>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41" w:lineRule="auto"/>
              <w:ind w:left="108" w:right="60" w:firstLine="0"/>
            </w:pPr>
            <w:r>
              <w:rPr>
                <w:sz w:val="20"/>
              </w:rPr>
              <w:t xml:space="preserve">Medir el nivel de cumplimiento de las actividades definidas en el </w:t>
            </w:r>
          </w:p>
          <w:p w:rsidR="0076001D" w:rsidRDefault="0034129A">
            <w:pPr>
              <w:spacing w:after="0" w:line="259" w:lineRule="auto"/>
              <w:ind w:left="108" w:right="55" w:firstLine="0"/>
            </w:pPr>
            <w:r>
              <w:rPr>
                <w:sz w:val="20"/>
              </w:rPr>
              <w:t xml:space="preserve">Plan Estratégico de Tecnologías de la Información y las Comunicaciones para atender las necesidades tecnológicas del IDEP </w:t>
            </w:r>
          </w:p>
        </w:tc>
        <w:tc>
          <w:tcPr>
            <w:tcW w:w="6819"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42" w:lineRule="auto"/>
              <w:ind w:left="468" w:right="59" w:hanging="379"/>
            </w:pPr>
            <w:r>
              <w:rPr>
                <w:noProof/>
                <w:lang w:val="es-ES" w:eastAsia="es-ES"/>
              </w:rPr>
              <w:drawing>
                <wp:inline distT="0" distB="0" distL="0" distR="0">
                  <wp:extent cx="226695" cy="228511"/>
                  <wp:effectExtent l="0" t="0" r="0" b="0"/>
                  <wp:docPr id="3350" name="Picture 3350"/>
                  <wp:cNvGraphicFramePr/>
                  <a:graphic xmlns:a="http://schemas.openxmlformats.org/drawingml/2006/main">
                    <a:graphicData uri="http://schemas.openxmlformats.org/drawingml/2006/picture">
                      <pic:pic xmlns:pic="http://schemas.openxmlformats.org/drawingml/2006/picture">
                        <pic:nvPicPr>
                          <pic:cNvPr id="3350" name="Picture 3350"/>
                          <pic:cNvPicPr/>
                        </pic:nvPicPr>
                        <pic:blipFill>
                          <a:blip r:embed="rId60"/>
                          <a:stretch>
                            <a:fillRect/>
                          </a:stretch>
                        </pic:blipFill>
                        <pic:spPr>
                          <a:xfrm>
                            <a:off x="0" y="0"/>
                            <a:ext cx="226695" cy="228511"/>
                          </a:xfrm>
                          <a:prstGeom prst="rect">
                            <a:avLst/>
                          </a:prstGeom>
                        </pic:spPr>
                      </pic:pic>
                    </a:graphicData>
                  </a:graphic>
                </wp:inline>
              </w:drawing>
            </w:r>
            <w:r>
              <w:rPr>
                <w:sz w:val="20"/>
              </w:rPr>
              <w:t xml:space="preserve"> De acuerdo con el habilitador de arquitectura de Gobierno Digital: La entidad debe definir y medir indicadores de monitoreo, desempeño y evaluación del PETI través a través de tableros de control, y formular acciones de mejora frente a desviaciones, sin embargo, el indicador establecido por la OAP no tiene como fuente tableros de control de los 5 proyectos con actividades discriminadas, fechas por estimación de esfuerzo, responsables individuales y criterios de calidad de entregables, para determinar cumplimiento, desempeño y calidad respectivamente. En el seguimiento a los Planes de Acción, POA y planes institucionales se registran actividades ejecutadas de manera general, pero no hay un documento que permita verificar planeación vs avance. </w:t>
            </w:r>
          </w:p>
          <w:p w:rsidR="0076001D" w:rsidRDefault="0034129A">
            <w:pPr>
              <w:spacing w:after="0" w:line="241" w:lineRule="auto"/>
              <w:ind w:left="468" w:right="26" w:hanging="365"/>
              <w:jc w:val="left"/>
            </w:pPr>
            <w:r>
              <w:rPr>
                <w:noProof/>
                <w:lang w:val="es-ES" w:eastAsia="es-ES"/>
              </w:rPr>
              <w:drawing>
                <wp:inline distT="0" distB="0" distL="0" distR="0">
                  <wp:extent cx="226695" cy="228511"/>
                  <wp:effectExtent l="0" t="0" r="0" b="0"/>
                  <wp:docPr id="3558" name="Picture 3558"/>
                  <wp:cNvGraphicFramePr/>
                  <a:graphic xmlns:a="http://schemas.openxmlformats.org/drawingml/2006/main">
                    <a:graphicData uri="http://schemas.openxmlformats.org/drawingml/2006/picture">
                      <pic:pic xmlns:pic="http://schemas.openxmlformats.org/drawingml/2006/picture">
                        <pic:nvPicPr>
                          <pic:cNvPr id="3558" name="Picture 3558"/>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rPr>
                <w:sz w:val="20"/>
              </w:rPr>
              <w:t xml:space="preserve">No responde a los lineamientos de Gobierno Digital con respecto a la cobertura en términos de los dominios del MRAE, para el diseño de indicadores asociados al PETI, que aporten valor a la entidad. La </w:t>
            </w:r>
          </w:p>
          <w:p w:rsidR="0076001D" w:rsidRDefault="0034129A">
            <w:pPr>
              <w:spacing w:after="0" w:line="241" w:lineRule="auto"/>
              <w:ind w:left="468" w:firstLine="0"/>
            </w:pPr>
            <w:proofErr w:type="gramStart"/>
            <w:r>
              <w:rPr>
                <w:sz w:val="20"/>
              </w:rPr>
              <w:t>siguiente</w:t>
            </w:r>
            <w:proofErr w:type="gramEnd"/>
            <w:r>
              <w:rPr>
                <w:sz w:val="20"/>
              </w:rPr>
              <w:t xml:space="preserve"> imagen corresponde al tipo de indicadores para 3 de los 7 dominios del MRAE. </w:t>
            </w:r>
          </w:p>
          <w:p w:rsidR="0076001D" w:rsidRDefault="00BA553F">
            <w:pPr>
              <w:spacing w:after="0" w:line="259" w:lineRule="auto"/>
              <w:ind w:left="468" w:right="391" w:firstLine="0"/>
            </w:pPr>
            <w:hyperlink r:id="rId63">
              <w:r w:rsidR="0034129A">
                <w:rPr>
                  <w:sz w:val="20"/>
                </w:rPr>
                <w:t>(</w:t>
              </w:r>
            </w:hyperlink>
            <w:hyperlink r:id="rId64">
              <w:r w:rsidR="0034129A">
                <w:rPr>
                  <w:color w:val="0000FF"/>
                  <w:sz w:val="20"/>
                  <w:u w:val="single" w:color="0000FF"/>
                </w:rPr>
                <w:t>https://estrategia.gobiernoenlinea.gov.co/623/w3</w:t>
              </w:r>
            </w:hyperlink>
            <w:hyperlink r:id="rId65">
              <w:r w:rsidR="0034129A">
                <w:rPr>
                  <w:color w:val="0000FF"/>
                  <w:sz w:val="20"/>
                  <w:u w:val="single" w:color="0000FF"/>
                </w:rPr>
                <w:t>-</w:t>
              </w:r>
            </w:hyperlink>
            <w:hyperlink r:id="rId66">
              <w:r w:rsidR="0034129A">
                <w:rPr>
                  <w:color w:val="0000FF"/>
                  <w:sz w:val="20"/>
                  <w:u w:val="single" w:color="0000FF"/>
                </w:rPr>
                <w:t>propertyvalue</w:t>
              </w:r>
            </w:hyperlink>
            <w:hyperlink r:id="rId67">
              <w:r w:rsidR="0034129A">
                <w:rPr>
                  <w:color w:val="0000FF"/>
                  <w:sz w:val="20"/>
                  <w:u w:val="single" w:color="0000FF"/>
                </w:rPr>
                <w:t>-</w:t>
              </w:r>
            </w:hyperlink>
            <w:hyperlink r:id="rId68">
              <w:r w:rsidR="0034129A">
                <w:rPr>
                  <w:color w:val="0000FF"/>
                  <w:sz w:val="20"/>
                </w:rPr>
                <w:t xml:space="preserve"> </w:t>
              </w:r>
            </w:hyperlink>
            <w:hyperlink r:id="rId69">
              <w:r w:rsidR="0034129A">
                <w:rPr>
                  <w:color w:val="0000FF"/>
                  <w:sz w:val="20"/>
                  <w:u w:val="single" w:color="0000FF"/>
                </w:rPr>
                <w:t>8017.html</w:t>
              </w:r>
            </w:hyperlink>
            <w:hyperlink r:id="rId70">
              <w:r w:rsidR="0034129A">
                <w:rPr>
                  <w:color w:val="0000FF"/>
                  <w:sz w:val="20"/>
                </w:rPr>
                <w:t xml:space="preserve"> </w:t>
              </w:r>
            </w:hyperlink>
            <w:r w:rsidR="0034129A">
              <w:rPr>
                <w:sz w:val="20"/>
              </w:rPr>
              <w:t xml:space="preserve">- Indicadores de gestión de TI, </w:t>
            </w:r>
            <w:r w:rsidR="0034129A">
              <w:rPr>
                <w:rFonts w:ascii="Calibri" w:eastAsia="Calibri" w:hAnsi="Calibri" w:cs="Calibri"/>
                <w:sz w:val="20"/>
              </w:rPr>
              <w:t xml:space="preserve">Lineamientos del Marco de Referencia de AE para la gestión de TI) </w:t>
            </w:r>
          </w:p>
        </w:tc>
      </w:tr>
    </w:tbl>
    <w:p w:rsidR="0076001D" w:rsidRDefault="0076001D">
      <w:pPr>
        <w:spacing w:after="0" w:line="259" w:lineRule="auto"/>
        <w:ind w:left="-1200" w:right="70" w:firstLine="0"/>
        <w:jc w:val="left"/>
      </w:pPr>
    </w:p>
    <w:tbl>
      <w:tblPr>
        <w:tblStyle w:val="TableGrid"/>
        <w:tblW w:w="9340" w:type="dxa"/>
        <w:tblInd w:w="404" w:type="dxa"/>
        <w:tblCellMar>
          <w:right w:w="46" w:type="dxa"/>
        </w:tblCellMar>
        <w:tblLook w:val="04A0" w:firstRow="1" w:lastRow="0" w:firstColumn="1" w:lastColumn="0" w:noHBand="0" w:noVBand="1"/>
      </w:tblPr>
      <w:tblGrid>
        <w:gridCol w:w="1672"/>
        <w:gridCol w:w="849"/>
        <w:gridCol w:w="6819"/>
      </w:tblGrid>
      <w:tr w:rsidR="0076001D">
        <w:trPr>
          <w:trHeight w:val="698"/>
        </w:trPr>
        <w:tc>
          <w:tcPr>
            <w:tcW w:w="1672" w:type="dxa"/>
            <w:tcBorders>
              <w:top w:val="single" w:sz="4" w:space="0" w:color="000000"/>
              <w:left w:val="single" w:sz="4" w:space="0" w:color="000000"/>
              <w:bottom w:val="single" w:sz="4" w:space="0" w:color="000000"/>
              <w:right w:val="nil"/>
            </w:tcBorders>
          </w:tcPr>
          <w:p w:rsidR="0076001D" w:rsidRDefault="0034129A">
            <w:pPr>
              <w:spacing w:after="0" w:line="241" w:lineRule="auto"/>
              <w:ind w:left="113" w:firstLine="0"/>
              <w:jc w:val="left"/>
            </w:pPr>
            <w:r>
              <w:rPr>
                <w:b/>
                <w:sz w:val="20"/>
              </w:rPr>
              <w:t xml:space="preserve">INDICADOR DESCRIPCIÓN </w:t>
            </w:r>
          </w:p>
          <w:p w:rsidR="0076001D" w:rsidRDefault="0034129A">
            <w:pPr>
              <w:spacing w:after="0" w:line="259" w:lineRule="auto"/>
              <w:ind w:left="113" w:firstLine="0"/>
              <w:jc w:val="left"/>
            </w:pPr>
            <w:r>
              <w:rPr>
                <w:b/>
                <w:sz w:val="20"/>
              </w:rPr>
              <w:t xml:space="preserve">INDICADOR </w:t>
            </w:r>
          </w:p>
        </w:tc>
        <w:tc>
          <w:tcPr>
            <w:tcW w:w="849" w:type="dxa"/>
            <w:tcBorders>
              <w:top w:val="single" w:sz="4" w:space="0" w:color="000000"/>
              <w:left w:val="nil"/>
              <w:bottom w:val="single" w:sz="4" w:space="0" w:color="000000"/>
              <w:right w:val="single" w:sz="4" w:space="0" w:color="000000"/>
            </w:tcBorders>
            <w:vAlign w:val="center"/>
          </w:tcPr>
          <w:p w:rsidR="0076001D" w:rsidRDefault="0034129A">
            <w:pPr>
              <w:spacing w:after="0" w:line="259" w:lineRule="auto"/>
              <w:ind w:left="0" w:right="80" w:firstLine="0"/>
              <w:jc w:val="right"/>
            </w:pPr>
            <w:r>
              <w:rPr>
                <w:b/>
                <w:sz w:val="20"/>
              </w:rPr>
              <w:t xml:space="preserve">DEL </w:t>
            </w:r>
          </w:p>
        </w:tc>
        <w:tc>
          <w:tcPr>
            <w:tcW w:w="681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3" w:firstLine="0"/>
              <w:jc w:val="left"/>
            </w:pPr>
            <w:r>
              <w:rPr>
                <w:b/>
                <w:sz w:val="20"/>
              </w:rPr>
              <w:t xml:space="preserve">OBSERVACION AUDITORIA </w:t>
            </w:r>
          </w:p>
        </w:tc>
      </w:tr>
      <w:tr w:rsidR="0076001D">
        <w:trPr>
          <w:trHeight w:val="5218"/>
        </w:trPr>
        <w:tc>
          <w:tcPr>
            <w:tcW w:w="1672" w:type="dxa"/>
            <w:tcBorders>
              <w:top w:val="single" w:sz="4" w:space="0" w:color="000000"/>
              <w:left w:val="single" w:sz="4" w:space="0" w:color="000000"/>
              <w:bottom w:val="single" w:sz="4" w:space="0" w:color="000000"/>
              <w:right w:val="nil"/>
            </w:tcBorders>
          </w:tcPr>
          <w:p w:rsidR="0076001D" w:rsidRDefault="0076001D">
            <w:pPr>
              <w:spacing w:after="160" w:line="259" w:lineRule="auto"/>
              <w:ind w:left="0" w:firstLine="0"/>
              <w:jc w:val="left"/>
            </w:pPr>
          </w:p>
        </w:tc>
        <w:tc>
          <w:tcPr>
            <w:tcW w:w="849" w:type="dxa"/>
            <w:tcBorders>
              <w:top w:val="single" w:sz="4" w:space="0" w:color="000000"/>
              <w:left w:val="nil"/>
              <w:bottom w:val="single" w:sz="4" w:space="0" w:color="000000"/>
              <w:right w:val="nil"/>
            </w:tcBorders>
          </w:tcPr>
          <w:p w:rsidR="0076001D" w:rsidRDefault="0076001D">
            <w:pPr>
              <w:spacing w:after="160" w:line="259" w:lineRule="auto"/>
              <w:ind w:left="0" w:firstLine="0"/>
              <w:jc w:val="left"/>
            </w:pPr>
          </w:p>
        </w:tc>
        <w:tc>
          <w:tcPr>
            <w:tcW w:w="6819" w:type="dxa"/>
            <w:tcBorders>
              <w:top w:val="single" w:sz="4" w:space="0" w:color="000000"/>
              <w:left w:val="nil"/>
              <w:bottom w:val="single" w:sz="4" w:space="0" w:color="000000"/>
              <w:right w:val="single" w:sz="4" w:space="0" w:color="000000"/>
            </w:tcBorders>
            <w:vAlign w:val="bottom"/>
          </w:tcPr>
          <w:p w:rsidR="0076001D" w:rsidRDefault="0034129A">
            <w:pPr>
              <w:spacing w:after="0" w:line="259" w:lineRule="auto"/>
              <w:ind w:left="-2178" w:right="250" w:firstLine="0"/>
              <w:jc w:val="right"/>
            </w:pPr>
            <w:r>
              <w:rPr>
                <w:noProof/>
                <w:lang w:val="es-ES" w:eastAsia="es-ES"/>
              </w:rPr>
              <w:drawing>
                <wp:inline distT="0" distB="0" distL="0" distR="0">
                  <wp:extent cx="5494021" cy="3223006"/>
                  <wp:effectExtent l="0" t="0" r="0" b="0"/>
                  <wp:docPr id="3710" name="Picture 3710"/>
                  <wp:cNvGraphicFramePr/>
                  <a:graphic xmlns:a="http://schemas.openxmlformats.org/drawingml/2006/main">
                    <a:graphicData uri="http://schemas.openxmlformats.org/drawingml/2006/picture">
                      <pic:pic xmlns:pic="http://schemas.openxmlformats.org/drawingml/2006/picture">
                        <pic:nvPicPr>
                          <pic:cNvPr id="3710" name="Picture 3710"/>
                          <pic:cNvPicPr/>
                        </pic:nvPicPr>
                        <pic:blipFill>
                          <a:blip r:embed="rId71"/>
                          <a:stretch>
                            <a:fillRect/>
                          </a:stretch>
                        </pic:blipFill>
                        <pic:spPr>
                          <a:xfrm>
                            <a:off x="0" y="0"/>
                            <a:ext cx="5494021" cy="3223006"/>
                          </a:xfrm>
                          <a:prstGeom prst="rect">
                            <a:avLst/>
                          </a:prstGeom>
                        </pic:spPr>
                      </pic:pic>
                    </a:graphicData>
                  </a:graphic>
                </wp:inline>
              </w:drawing>
            </w:r>
            <w:r>
              <w:rPr>
                <w:rFonts w:ascii="Times New Roman" w:eastAsia="Times New Roman" w:hAnsi="Times New Roman" w:cs="Times New Roman"/>
                <w:sz w:val="20"/>
              </w:rPr>
              <w:t xml:space="preserve"> </w:t>
            </w:r>
          </w:p>
        </w:tc>
      </w:tr>
      <w:tr w:rsidR="0076001D">
        <w:trPr>
          <w:trHeight w:val="208"/>
        </w:trPr>
        <w:tc>
          <w:tcPr>
            <w:tcW w:w="1672" w:type="dxa"/>
            <w:tcBorders>
              <w:top w:val="single" w:sz="4" w:space="0" w:color="000000"/>
              <w:left w:val="single" w:sz="4" w:space="0" w:color="000000"/>
              <w:bottom w:val="nil"/>
              <w:right w:val="nil"/>
            </w:tcBorders>
          </w:tcPr>
          <w:p w:rsidR="0076001D" w:rsidRDefault="0034129A">
            <w:pPr>
              <w:spacing w:after="0" w:line="259" w:lineRule="auto"/>
              <w:ind w:left="113" w:firstLine="0"/>
              <w:jc w:val="left"/>
            </w:pPr>
            <w:r>
              <w:rPr>
                <w:b/>
                <w:sz w:val="20"/>
              </w:rPr>
              <w:t xml:space="preserve">Cumplimiento </w:t>
            </w:r>
          </w:p>
        </w:tc>
        <w:tc>
          <w:tcPr>
            <w:tcW w:w="849" w:type="dxa"/>
            <w:tcBorders>
              <w:top w:val="single" w:sz="4" w:space="0" w:color="000000"/>
              <w:left w:val="nil"/>
              <w:bottom w:val="nil"/>
              <w:right w:val="single" w:sz="4" w:space="0" w:color="000000"/>
            </w:tcBorders>
          </w:tcPr>
          <w:p w:rsidR="0076001D" w:rsidRDefault="0034129A">
            <w:pPr>
              <w:tabs>
                <w:tab w:val="center" w:pos="116"/>
                <w:tab w:val="center" w:pos="601"/>
              </w:tabs>
              <w:spacing w:after="0" w:line="259" w:lineRule="auto"/>
              <w:ind w:left="0" w:firstLine="0"/>
              <w:jc w:val="left"/>
            </w:pPr>
            <w:r>
              <w:rPr>
                <w:rFonts w:ascii="Calibri" w:eastAsia="Calibri" w:hAnsi="Calibri" w:cs="Calibri"/>
              </w:rPr>
              <w:tab/>
            </w:r>
            <w:r>
              <w:rPr>
                <w:b/>
                <w:sz w:val="20"/>
              </w:rPr>
              <w:t xml:space="preserve">de </w:t>
            </w:r>
            <w:r>
              <w:rPr>
                <w:b/>
                <w:sz w:val="20"/>
              </w:rPr>
              <w:tab/>
              <w:t xml:space="preserve">las </w:t>
            </w:r>
          </w:p>
        </w:tc>
        <w:tc>
          <w:tcPr>
            <w:tcW w:w="6819" w:type="dxa"/>
            <w:tcBorders>
              <w:top w:val="single" w:sz="4" w:space="0" w:color="000000"/>
              <w:left w:val="single" w:sz="4" w:space="0" w:color="000000"/>
              <w:bottom w:val="nil"/>
              <w:right w:val="single" w:sz="4" w:space="0" w:color="000000"/>
            </w:tcBorders>
          </w:tcPr>
          <w:p w:rsidR="0076001D" w:rsidRDefault="0034129A">
            <w:pPr>
              <w:spacing w:after="0" w:line="259" w:lineRule="auto"/>
              <w:ind w:left="94" w:firstLine="0"/>
              <w:jc w:val="left"/>
            </w:pPr>
            <w:r>
              <w:rPr>
                <w:noProof/>
                <w:lang w:val="es-ES" w:eastAsia="es-ES"/>
              </w:rPr>
              <w:drawing>
                <wp:inline distT="0" distB="0" distL="0" distR="0">
                  <wp:extent cx="226695" cy="228511"/>
                  <wp:effectExtent l="0" t="0" r="0" b="0"/>
                  <wp:docPr id="3603" name="Picture 3603"/>
                  <wp:cNvGraphicFramePr/>
                  <a:graphic xmlns:a="http://schemas.openxmlformats.org/drawingml/2006/main">
                    <a:graphicData uri="http://schemas.openxmlformats.org/drawingml/2006/picture">
                      <pic:pic xmlns:pic="http://schemas.openxmlformats.org/drawingml/2006/picture">
                        <pic:nvPicPr>
                          <pic:cNvPr id="3603" name="Picture 3603"/>
                          <pic:cNvPicPr/>
                        </pic:nvPicPr>
                        <pic:blipFill>
                          <a:blip r:embed="rId60"/>
                          <a:stretch>
                            <a:fillRect/>
                          </a:stretch>
                        </pic:blipFill>
                        <pic:spPr>
                          <a:xfrm>
                            <a:off x="0" y="0"/>
                            <a:ext cx="226695" cy="228511"/>
                          </a:xfrm>
                          <a:prstGeom prst="rect">
                            <a:avLst/>
                          </a:prstGeom>
                        </pic:spPr>
                      </pic:pic>
                    </a:graphicData>
                  </a:graphic>
                </wp:inline>
              </w:drawing>
            </w:r>
          </w:p>
        </w:tc>
      </w:tr>
      <w:tr w:rsidR="0076001D">
        <w:trPr>
          <w:trHeight w:val="4057"/>
        </w:trPr>
        <w:tc>
          <w:tcPr>
            <w:tcW w:w="2521" w:type="dxa"/>
            <w:gridSpan w:val="2"/>
            <w:tcBorders>
              <w:top w:val="nil"/>
              <w:left w:val="single" w:sz="4" w:space="0" w:color="000000"/>
              <w:bottom w:val="single" w:sz="4" w:space="0" w:color="000000"/>
              <w:right w:val="single" w:sz="4" w:space="0" w:color="000000"/>
            </w:tcBorders>
          </w:tcPr>
          <w:p w:rsidR="0076001D" w:rsidRDefault="0034129A">
            <w:pPr>
              <w:spacing w:after="0" w:line="241" w:lineRule="auto"/>
              <w:ind w:left="113" w:right="64" w:firstLine="0"/>
            </w:pPr>
            <w:proofErr w:type="gramStart"/>
            <w:r>
              <w:rPr>
                <w:b/>
                <w:sz w:val="20"/>
              </w:rPr>
              <w:t>actividades</w:t>
            </w:r>
            <w:proofErr w:type="gramEnd"/>
            <w:r>
              <w:rPr>
                <w:b/>
                <w:sz w:val="20"/>
              </w:rPr>
              <w:t xml:space="preserve"> del plan de seguridad y privacidad de la información en la vigencia. </w:t>
            </w:r>
          </w:p>
          <w:p w:rsidR="0076001D" w:rsidRDefault="0034129A">
            <w:pPr>
              <w:spacing w:after="0" w:line="259" w:lineRule="auto"/>
              <w:ind w:left="5" w:firstLine="0"/>
              <w:jc w:val="left"/>
            </w:pPr>
            <w:r>
              <w:rPr>
                <w:rFonts w:ascii="Times New Roman" w:eastAsia="Times New Roman" w:hAnsi="Times New Roman" w:cs="Times New Roman"/>
                <w:sz w:val="19"/>
              </w:rPr>
              <w:t xml:space="preserve"> </w:t>
            </w:r>
          </w:p>
          <w:p w:rsidR="0076001D" w:rsidRDefault="0034129A">
            <w:pPr>
              <w:spacing w:after="1" w:line="241" w:lineRule="auto"/>
              <w:ind w:left="113" w:right="52" w:firstLine="0"/>
            </w:pPr>
            <w:r>
              <w:rPr>
                <w:sz w:val="20"/>
              </w:rPr>
              <w:t xml:space="preserve">Medir el nivel de cumplimiento de las actividades definidas en el plan de seguridad y privacidad de la </w:t>
            </w:r>
          </w:p>
          <w:p w:rsidR="0076001D" w:rsidRDefault="0034129A">
            <w:pPr>
              <w:spacing w:after="0" w:line="259" w:lineRule="auto"/>
              <w:ind w:left="113" w:right="61" w:firstLine="0"/>
            </w:pPr>
            <w:proofErr w:type="gramStart"/>
            <w:r>
              <w:rPr>
                <w:sz w:val="20"/>
              </w:rPr>
              <w:t>información</w:t>
            </w:r>
            <w:proofErr w:type="gramEnd"/>
            <w:r>
              <w:rPr>
                <w:sz w:val="20"/>
              </w:rPr>
              <w:t xml:space="preserve"> para mantener su integridad, confidencialidad  y disponibilidad. </w:t>
            </w:r>
          </w:p>
        </w:tc>
        <w:tc>
          <w:tcPr>
            <w:tcW w:w="6819" w:type="dxa"/>
            <w:tcBorders>
              <w:top w:val="nil"/>
              <w:left w:val="single" w:sz="4" w:space="0" w:color="000000"/>
              <w:bottom w:val="single" w:sz="4" w:space="0" w:color="000000"/>
              <w:right w:val="single" w:sz="4" w:space="0" w:color="000000"/>
            </w:tcBorders>
          </w:tcPr>
          <w:p w:rsidR="0076001D" w:rsidRDefault="0034129A">
            <w:pPr>
              <w:spacing w:after="171" w:line="241" w:lineRule="auto"/>
              <w:ind w:left="108" w:right="57" w:firstLine="348"/>
            </w:pPr>
            <w:r>
              <w:rPr>
                <w:noProof/>
                <w:lang w:val="es-ES" w:eastAsia="es-ES"/>
              </w:rPr>
              <w:drawing>
                <wp:anchor distT="0" distB="0" distL="114300" distR="114300" simplePos="0" relativeHeight="251661312" behindDoc="0" locked="0" layoutInCell="1" allowOverlap="0">
                  <wp:simplePos x="0" y="0"/>
                  <wp:positionH relativeFrom="column">
                    <wp:posOffset>68453</wp:posOffset>
                  </wp:positionH>
                  <wp:positionV relativeFrom="paragraph">
                    <wp:posOffset>1164600</wp:posOffset>
                  </wp:positionV>
                  <wp:extent cx="226695" cy="228511"/>
                  <wp:effectExtent l="0" t="0" r="0" b="0"/>
                  <wp:wrapSquare wrapText="bothSides"/>
                  <wp:docPr id="3712" name="Picture 3712"/>
                  <wp:cNvGraphicFramePr/>
                  <a:graphic xmlns:a="http://schemas.openxmlformats.org/drawingml/2006/main">
                    <a:graphicData uri="http://schemas.openxmlformats.org/drawingml/2006/picture">
                      <pic:pic xmlns:pic="http://schemas.openxmlformats.org/drawingml/2006/picture">
                        <pic:nvPicPr>
                          <pic:cNvPr id="3712" name="Picture 3712"/>
                          <pic:cNvPicPr/>
                        </pic:nvPicPr>
                        <pic:blipFill>
                          <a:blip r:embed="rId60"/>
                          <a:stretch>
                            <a:fillRect/>
                          </a:stretch>
                        </pic:blipFill>
                        <pic:spPr>
                          <a:xfrm>
                            <a:off x="0" y="0"/>
                            <a:ext cx="226695" cy="228511"/>
                          </a:xfrm>
                          <a:prstGeom prst="rect">
                            <a:avLst/>
                          </a:prstGeom>
                        </pic:spPr>
                      </pic:pic>
                    </a:graphicData>
                  </a:graphic>
                </wp:anchor>
              </w:drawing>
            </w:r>
            <w:r>
              <w:rPr>
                <w:sz w:val="20"/>
              </w:rPr>
              <w:t xml:space="preserve">Si bien el indicador mide cumplimiento en términos de fechas proyectadas de las actividades del Plan, no ofrece resultados de nivel de madurez en la implementación del Modelo de Seguridad y Privacidad de la Información, toda vez que el plan adolece de los elementos que constituyen su articulación, implementación de controles, verificación de efectividad e integración al SIG. Las debilidades en esta materia se evidencian en el numeral 5.1.4 del presente informe. </w:t>
            </w:r>
          </w:p>
          <w:p w:rsidR="0076001D" w:rsidRDefault="0034129A">
            <w:pPr>
              <w:spacing w:after="0" w:line="259" w:lineRule="auto"/>
              <w:ind w:left="115" w:right="59" w:hanging="7"/>
            </w:pPr>
            <w:r>
              <w:rPr>
                <w:rFonts w:ascii="Times New Roman" w:eastAsia="Times New Roman" w:hAnsi="Times New Roman" w:cs="Times New Roman"/>
                <w:sz w:val="20"/>
              </w:rPr>
              <w:t xml:space="preserve">       </w:t>
            </w:r>
            <w:r>
              <w:rPr>
                <w:sz w:val="20"/>
              </w:rPr>
              <w:t xml:space="preserve">Dado que el plan de seguridad y privacidad de la información no representa el alcance real de una implementación MSPI, este indicador resulta confuso, ya que puede trasmitir un dato errado sobre el nivel de madurez de la entidad en implementar seguridad de la información. Evidencia de ello, es que este mismo indicador se </w:t>
            </w:r>
            <w:proofErr w:type="spellStart"/>
            <w:r>
              <w:rPr>
                <w:sz w:val="20"/>
              </w:rPr>
              <w:t>reporto</w:t>
            </w:r>
            <w:proofErr w:type="spellEnd"/>
            <w:r>
              <w:rPr>
                <w:sz w:val="20"/>
              </w:rPr>
              <w:t xml:space="preserve"> en el 2019 con resultados por encima del 100% pese a que los resultados de la auditoría 2019 evidenciaron graves fugas de seguridad. Ver imagen inferior: fuente indicadores 2019 publicados  en la página de la entidad. </w:t>
            </w:r>
          </w:p>
        </w:tc>
      </w:tr>
      <w:tr w:rsidR="0076001D">
        <w:trPr>
          <w:trHeight w:val="1476"/>
        </w:trPr>
        <w:tc>
          <w:tcPr>
            <w:tcW w:w="9340" w:type="dxa"/>
            <w:gridSpan w:val="3"/>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59" w:lineRule="auto"/>
              <w:ind w:left="0" w:firstLine="0"/>
              <w:jc w:val="right"/>
            </w:pPr>
            <w:r>
              <w:rPr>
                <w:noProof/>
                <w:lang w:val="es-ES" w:eastAsia="es-ES"/>
              </w:rPr>
              <w:drawing>
                <wp:inline distT="0" distB="0" distL="0" distR="0">
                  <wp:extent cx="5797550" cy="899160"/>
                  <wp:effectExtent l="0" t="0" r="0" b="0"/>
                  <wp:docPr id="3714" name="Picture 3714"/>
                  <wp:cNvGraphicFramePr/>
                  <a:graphic xmlns:a="http://schemas.openxmlformats.org/drawingml/2006/main">
                    <a:graphicData uri="http://schemas.openxmlformats.org/drawingml/2006/picture">
                      <pic:pic xmlns:pic="http://schemas.openxmlformats.org/drawingml/2006/picture">
                        <pic:nvPicPr>
                          <pic:cNvPr id="3714" name="Picture 3714"/>
                          <pic:cNvPicPr/>
                        </pic:nvPicPr>
                        <pic:blipFill>
                          <a:blip r:embed="rId72"/>
                          <a:stretch>
                            <a:fillRect/>
                          </a:stretch>
                        </pic:blipFill>
                        <pic:spPr>
                          <a:xfrm>
                            <a:off x="0" y="0"/>
                            <a:ext cx="5797550" cy="899160"/>
                          </a:xfrm>
                          <a:prstGeom prst="rect">
                            <a:avLst/>
                          </a:prstGeom>
                        </pic:spPr>
                      </pic:pic>
                    </a:graphicData>
                  </a:graphic>
                </wp:inline>
              </w:drawing>
            </w:r>
            <w:r>
              <w:rPr>
                <w:rFonts w:ascii="Times New Roman" w:eastAsia="Times New Roman" w:hAnsi="Times New Roman" w:cs="Times New Roman"/>
                <w:sz w:val="20"/>
              </w:rPr>
              <w:t xml:space="preserve"> </w:t>
            </w:r>
          </w:p>
        </w:tc>
      </w:tr>
    </w:tbl>
    <w:p w:rsidR="0076001D" w:rsidRDefault="0034129A">
      <w:pPr>
        <w:spacing w:after="72"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right="8956" w:firstLine="0"/>
        <w:jc w:val="left"/>
      </w:pPr>
      <w:r>
        <w:rPr>
          <w:rFonts w:ascii="Times New Roman" w:eastAsia="Times New Roman" w:hAnsi="Times New Roman" w:cs="Times New Roman"/>
          <w:sz w:val="29"/>
        </w:rPr>
        <w:t xml:space="preserve"> </w:t>
      </w:r>
    </w:p>
    <w:p w:rsidR="0076001D" w:rsidRDefault="0034129A">
      <w:pPr>
        <w:ind w:left="914" w:right="180"/>
      </w:pPr>
      <w:r>
        <w:rPr>
          <w:noProof/>
          <w:lang w:val="es-ES" w:eastAsia="es-ES"/>
        </w:rPr>
        <w:drawing>
          <wp:inline distT="0" distB="0" distL="0" distR="0">
            <wp:extent cx="226695" cy="228511"/>
            <wp:effectExtent l="0" t="0" r="0" b="0"/>
            <wp:docPr id="3916" name="Picture 3916"/>
            <wp:cNvGraphicFramePr/>
            <a:graphic xmlns:a="http://schemas.openxmlformats.org/drawingml/2006/main">
              <a:graphicData uri="http://schemas.openxmlformats.org/drawingml/2006/picture">
                <pic:pic xmlns:pic="http://schemas.openxmlformats.org/drawingml/2006/picture">
                  <pic:nvPicPr>
                    <pic:cNvPr id="3916" name="Picture 3916"/>
                    <pic:cNvPicPr/>
                  </pic:nvPicPr>
                  <pic:blipFill>
                    <a:blip r:embed="rId60"/>
                    <a:stretch>
                      <a:fillRect/>
                    </a:stretch>
                  </pic:blipFill>
                  <pic:spPr>
                    <a:xfrm>
                      <a:off x="0" y="0"/>
                      <a:ext cx="226695" cy="228511"/>
                    </a:xfrm>
                    <a:prstGeom prst="rect">
                      <a:avLst/>
                    </a:prstGeom>
                  </pic:spPr>
                </pic:pic>
              </a:graphicData>
            </a:graphic>
          </wp:inline>
        </w:drawing>
      </w:r>
      <w:r>
        <w:t xml:space="preserve"> En términos generales el tablero de indicadores en las dos vigencias auditadas (2019 y 2020) no atiende las directrices que en esta materia ha emitido el manual de Gobierno Digital, toda vez </w:t>
      </w:r>
      <w:r>
        <w:lastRenderedPageBreak/>
        <w:t>que orienta su creación en los 7 dominios del MRAE tales como: desempeño de la gestión de TI, de efectividad del uso y apropiación, componentes de información asegurados, disponibilidad de servicios tecnológicos y avance en implementación de controles MSPI entre otros. (</w:t>
      </w:r>
      <w:proofErr w:type="gramStart"/>
      <w:r>
        <w:t>ver</w:t>
      </w:r>
      <w:proofErr w:type="gramEnd"/>
      <w:r>
        <w:t xml:space="preserve"> documento Lineamientos del Marco de Referencia de AE para la gestión de TI). </w:t>
      </w:r>
    </w:p>
    <w:p w:rsidR="0076001D" w:rsidRDefault="0034129A">
      <w:pPr>
        <w:spacing w:after="12" w:line="259" w:lineRule="auto"/>
        <w:ind w:left="0" w:firstLine="0"/>
        <w:jc w:val="left"/>
      </w:pPr>
      <w:r>
        <w:rPr>
          <w:sz w:val="20"/>
        </w:rPr>
        <w:t xml:space="preserve"> </w:t>
      </w:r>
    </w:p>
    <w:p w:rsidR="0076001D" w:rsidRDefault="0034129A">
      <w:pPr>
        <w:spacing w:after="0" w:line="259" w:lineRule="auto"/>
        <w:ind w:left="0" w:firstLine="0"/>
        <w:jc w:val="left"/>
      </w:pPr>
      <w:r>
        <w:t xml:space="preserve"> </w:t>
      </w:r>
    </w:p>
    <w:p w:rsidR="0076001D" w:rsidRDefault="0034129A">
      <w:pPr>
        <w:pStyle w:val="Ttulo4"/>
        <w:tabs>
          <w:tab w:val="center" w:pos="831"/>
          <w:tab w:val="center" w:pos="5099"/>
        </w:tabs>
        <w:spacing w:after="35"/>
        <w:ind w:left="0" w:firstLine="0"/>
      </w:pPr>
      <w:r>
        <w:rPr>
          <w:rFonts w:ascii="Calibri" w:eastAsia="Calibri" w:hAnsi="Calibri" w:cs="Calibri"/>
          <w:b w:val="0"/>
        </w:rPr>
        <w:tab/>
      </w:r>
      <w:r>
        <w:t xml:space="preserve">5.1.1.1 </w:t>
      </w:r>
      <w:r>
        <w:tab/>
        <w:t xml:space="preserve">Seguimiento a Recomendaciones 2019 </w:t>
      </w:r>
    </w:p>
    <w:p w:rsidR="0076001D" w:rsidRDefault="0034129A">
      <w:pPr>
        <w:spacing w:after="0" w:line="259" w:lineRule="auto"/>
        <w:ind w:left="0" w:firstLine="0"/>
        <w:jc w:val="left"/>
      </w:pPr>
      <w:r>
        <w:rPr>
          <w:b/>
          <w:sz w:val="27"/>
        </w:rPr>
        <w:t xml:space="preserve"> </w:t>
      </w:r>
    </w:p>
    <w:tbl>
      <w:tblPr>
        <w:tblStyle w:val="TableGrid"/>
        <w:tblW w:w="9620" w:type="dxa"/>
        <w:tblInd w:w="123" w:type="dxa"/>
        <w:tblCellMar>
          <w:top w:w="7" w:type="dxa"/>
          <w:left w:w="5" w:type="dxa"/>
        </w:tblCellMar>
        <w:tblLook w:val="04A0" w:firstRow="1" w:lastRow="0" w:firstColumn="1" w:lastColumn="0" w:noHBand="0" w:noVBand="1"/>
      </w:tblPr>
      <w:tblGrid>
        <w:gridCol w:w="574"/>
        <w:gridCol w:w="3692"/>
        <w:gridCol w:w="576"/>
        <w:gridCol w:w="4778"/>
      </w:tblGrid>
      <w:tr w:rsidR="0076001D">
        <w:trPr>
          <w:trHeight w:val="256"/>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t xml:space="preserve">N°. </w:t>
            </w:r>
          </w:p>
        </w:tc>
        <w:tc>
          <w:tcPr>
            <w:tcW w:w="369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 w:firstLine="0"/>
              <w:jc w:val="center"/>
            </w:pPr>
            <w:r>
              <w:rPr>
                <w:b/>
                <w:sz w:val="20"/>
              </w:rPr>
              <w:t xml:space="preserve">Recomendación 2019 </w:t>
            </w:r>
          </w:p>
        </w:tc>
        <w:tc>
          <w:tcPr>
            <w:tcW w:w="576"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778"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2" w:firstLine="0"/>
              <w:jc w:val="center"/>
            </w:pPr>
            <w:r>
              <w:rPr>
                <w:b/>
                <w:sz w:val="20"/>
              </w:rPr>
              <w:t xml:space="preserve">Seguimiento 2020 </w:t>
            </w:r>
          </w:p>
        </w:tc>
      </w:tr>
      <w:tr w:rsidR="0076001D">
        <w:trPr>
          <w:trHeight w:val="5536"/>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74" w:line="259" w:lineRule="auto"/>
              <w:ind w:left="0" w:firstLine="0"/>
              <w:jc w:val="left"/>
            </w:pPr>
            <w:r>
              <w:rPr>
                <w:b/>
              </w:rPr>
              <w:t xml:space="preserve"> </w:t>
            </w:r>
          </w:p>
          <w:p w:rsidR="0076001D" w:rsidRDefault="0034129A">
            <w:pPr>
              <w:spacing w:after="0" w:line="259" w:lineRule="auto"/>
              <w:ind w:left="0" w:firstLine="0"/>
              <w:jc w:val="left"/>
            </w:pPr>
            <w:r>
              <w:rPr>
                <w:b/>
                <w:sz w:val="31"/>
              </w:rPr>
              <w:t xml:space="preserve"> </w:t>
            </w:r>
          </w:p>
          <w:p w:rsidR="0076001D" w:rsidRDefault="0034129A">
            <w:pPr>
              <w:spacing w:after="0" w:line="259" w:lineRule="auto"/>
              <w:ind w:left="0" w:right="-9" w:firstLine="0"/>
              <w:jc w:val="right"/>
            </w:pPr>
            <w:r>
              <w:rPr>
                <w:sz w:val="20"/>
              </w:rPr>
              <w:t>1</w:t>
            </w:r>
          </w:p>
        </w:tc>
        <w:tc>
          <w:tcPr>
            <w:tcW w:w="369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105" w:firstLine="0"/>
            </w:pPr>
            <w:r>
              <w:rPr>
                <w:sz w:val="20"/>
              </w:rPr>
              <w:t xml:space="preserve">Como insumo para la formulación del PETIC, adelantar un análisis DOFA sobre la plataforma tecnológica, recursos TIC y competencia y conocimiento de los recursos humanos del IDEP en relación con la capacidad de ofrecer continuidad, seguridad de la información y desempeño aceptable para soportar los requisitos externos, requisitos de la entidad, proyectos propios TIC y oportunidades de innovación. </w:t>
            </w:r>
          </w:p>
          <w:p w:rsidR="0076001D" w:rsidRDefault="0034129A">
            <w:pPr>
              <w:spacing w:after="3" w:line="241" w:lineRule="auto"/>
              <w:ind w:left="108" w:right="104" w:firstLine="0"/>
            </w:pPr>
            <w:r>
              <w:rPr>
                <w:sz w:val="20"/>
              </w:rPr>
              <w:t xml:space="preserve">El análisis DOFA ofrecerá elementos para identificar necesidades de conocimiento y proyectos estratégicos además de proyectos orientados al mantenimiento de la plataforma tecnológica. Aprovechar la nueva formulación del PEDI para la vigencia 2020 - 2024 para proyectar el PETIC a 4 años como lo recomienda el Marco de Referencia de Arquitectura </w:t>
            </w:r>
          </w:p>
          <w:p w:rsidR="0076001D" w:rsidRDefault="0034129A">
            <w:pPr>
              <w:spacing w:after="0" w:line="259" w:lineRule="auto"/>
              <w:ind w:left="108" w:firstLine="0"/>
            </w:pPr>
            <w:r>
              <w:rPr>
                <w:sz w:val="20"/>
              </w:rPr>
              <w:t xml:space="preserve">Empresarial para la Gestión de TI del Estado colombiano. </w:t>
            </w:r>
          </w:p>
        </w:tc>
        <w:tc>
          <w:tcPr>
            <w:tcW w:w="57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0"/>
              </w:rPr>
              <w:t xml:space="preserve"> </w:t>
            </w:r>
          </w:p>
          <w:p w:rsidR="0076001D" w:rsidRDefault="0034129A">
            <w:pPr>
              <w:spacing w:after="0" w:line="259" w:lineRule="auto"/>
              <w:ind w:left="0" w:firstLine="0"/>
              <w:jc w:val="left"/>
            </w:pPr>
            <w:r>
              <w:rPr>
                <w:b/>
                <w:sz w:val="20"/>
              </w:rPr>
              <w:t xml:space="preserve"> </w:t>
            </w:r>
          </w:p>
          <w:p w:rsidR="0076001D" w:rsidRDefault="0034129A">
            <w:pPr>
              <w:spacing w:after="0" w:line="259" w:lineRule="auto"/>
              <w:ind w:left="0" w:firstLine="0"/>
              <w:jc w:val="left"/>
            </w:pPr>
            <w:r>
              <w:rPr>
                <w:b/>
                <w:sz w:val="20"/>
              </w:rPr>
              <w:t xml:space="preserve"> </w:t>
            </w:r>
          </w:p>
          <w:p w:rsidR="0076001D" w:rsidRDefault="0034129A">
            <w:pPr>
              <w:spacing w:after="0" w:line="259" w:lineRule="auto"/>
              <w:ind w:left="0" w:firstLine="0"/>
              <w:jc w:val="left"/>
            </w:pPr>
            <w:r>
              <w:rPr>
                <w:b/>
                <w:sz w:val="20"/>
              </w:rPr>
              <w:t xml:space="preserve"> </w:t>
            </w:r>
          </w:p>
          <w:p w:rsidR="0076001D" w:rsidRDefault="0034129A">
            <w:pPr>
              <w:spacing w:after="0" w:line="259" w:lineRule="auto"/>
              <w:ind w:left="0" w:firstLine="0"/>
              <w:jc w:val="left"/>
            </w:pPr>
            <w:r>
              <w:rPr>
                <w:b/>
                <w:sz w:val="20"/>
              </w:rPr>
              <w:t xml:space="preserve"> </w:t>
            </w:r>
          </w:p>
          <w:p w:rsidR="0076001D" w:rsidRDefault="0034129A">
            <w:pPr>
              <w:spacing w:after="0" w:line="259" w:lineRule="auto"/>
              <w:ind w:left="0" w:firstLine="0"/>
              <w:jc w:val="left"/>
            </w:pPr>
            <w:r>
              <w:rPr>
                <w:b/>
                <w:sz w:val="20"/>
              </w:rPr>
              <w:t xml:space="preserve"> </w:t>
            </w:r>
          </w:p>
          <w:p w:rsidR="0076001D" w:rsidRDefault="0034129A">
            <w:pPr>
              <w:spacing w:after="25" w:line="259" w:lineRule="auto"/>
              <w:ind w:left="0" w:firstLine="0"/>
              <w:jc w:val="left"/>
            </w:pPr>
            <w:r>
              <w:rPr>
                <w:b/>
                <w:sz w:val="15"/>
              </w:rPr>
              <w:t xml:space="preserve"> </w:t>
            </w:r>
          </w:p>
          <w:p w:rsidR="0076001D" w:rsidRDefault="0034129A">
            <w:pPr>
              <w:spacing w:after="0" w:line="259" w:lineRule="auto"/>
              <w:ind w:left="0" w:right="171" w:firstLine="0"/>
              <w:jc w:val="center"/>
            </w:pPr>
            <w:r>
              <w:rPr>
                <w:noProof/>
                <w:lang w:val="es-ES" w:eastAsia="es-ES"/>
              </w:rPr>
              <w:drawing>
                <wp:inline distT="0" distB="0" distL="0" distR="0">
                  <wp:extent cx="213970" cy="218440"/>
                  <wp:effectExtent l="0" t="0" r="0" b="0"/>
                  <wp:docPr id="3914" name="Picture 3914"/>
                  <wp:cNvGraphicFramePr/>
                  <a:graphic xmlns:a="http://schemas.openxmlformats.org/drawingml/2006/main">
                    <a:graphicData uri="http://schemas.openxmlformats.org/drawingml/2006/picture">
                      <pic:pic xmlns:pic="http://schemas.openxmlformats.org/drawingml/2006/picture">
                        <pic:nvPicPr>
                          <pic:cNvPr id="3914" name="Picture 3914"/>
                          <pic:cNvPicPr/>
                        </pic:nvPicPr>
                        <pic:blipFill>
                          <a:blip r:embed="rId73"/>
                          <a:stretch>
                            <a:fillRect/>
                          </a:stretch>
                        </pic:blipFill>
                        <pic:spPr>
                          <a:xfrm>
                            <a:off x="0" y="0"/>
                            <a:ext cx="213970" cy="218440"/>
                          </a:xfrm>
                          <a:prstGeom prst="rect">
                            <a:avLst/>
                          </a:prstGeom>
                        </pic:spPr>
                      </pic:pic>
                    </a:graphicData>
                  </a:graphic>
                </wp:inline>
              </w:drawing>
            </w:r>
            <w:r>
              <w:rPr>
                <w:sz w:val="20"/>
              </w:rPr>
              <w:t xml:space="preserve"> </w:t>
            </w:r>
          </w:p>
        </w:tc>
        <w:tc>
          <w:tcPr>
            <w:tcW w:w="477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firstLine="0"/>
              <w:jc w:val="left"/>
            </w:pPr>
            <w:r>
              <w:rPr>
                <w:sz w:val="20"/>
              </w:rPr>
              <w:t xml:space="preserve">En el PETI actualizado a la vigencia 2020, se incluye el análisis DOFA, donde los siguientes elementos se relacionan con proyectos: </w:t>
            </w:r>
          </w:p>
          <w:p w:rsidR="0076001D" w:rsidRDefault="0034129A">
            <w:pPr>
              <w:spacing w:after="0" w:line="259" w:lineRule="auto"/>
              <w:ind w:left="108" w:firstLine="0"/>
              <w:jc w:val="left"/>
            </w:pPr>
            <w:r>
              <w:rPr>
                <w:b/>
                <w:sz w:val="20"/>
              </w:rPr>
              <w:t xml:space="preserve">MIGRACION HUMANO A SAAS </w:t>
            </w:r>
          </w:p>
          <w:p w:rsidR="0076001D" w:rsidRDefault="0034129A">
            <w:pPr>
              <w:spacing w:after="0" w:line="241" w:lineRule="auto"/>
              <w:ind w:left="108" w:right="105" w:firstLine="0"/>
            </w:pPr>
            <w:r>
              <w:rPr>
                <w:sz w:val="20"/>
              </w:rPr>
              <w:t xml:space="preserve">-Interés de los directivos(as) de innovar y aplicar herramientas tecnológicas en cumplimiento de la misión Institucional. "Existe riesgo de indisponibilidad de los servicios de sistemas dada la </w:t>
            </w:r>
          </w:p>
          <w:p w:rsidR="0076001D" w:rsidRDefault="0034129A">
            <w:pPr>
              <w:spacing w:after="0" w:line="259" w:lineRule="auto"/>
              <w:ind w:left="108" w:firstLine="0"/>
              <w:jc w:val="left"/>
            </w:pPr>
            <w:proofErr w:type="gramStart"/>
            <w:r>
              <w:rPr>
                <w:sz w:val="20"/>
              </w:rPr>
              <w:t>ubicación</w:t>
            </w:r>
            <w:proofErr w:type="gramEnd"/>
            <w:r>
              <w:rPr>
                <w:sz w:val="20"/>
              </w:rPr>
              <w:t xml:space="preserve"> del centro de cómputo." </w:t>
            </w:r>
          </w:p>
          <w:p w:rsidR="0076001D" w:rsidRDefault="0034129A">
            <w:pPr>
              <w:spacing w:after="0" w:line="259" w:lineRule="auto"/>
              <w:ind w:left="108" w:firstLine="0"/>
              <w:jc w:val="left"/>
            </w:pPr>
            <w:r>
              <w:rPr>
                <w:b/>
                <w:sz w:val="20"/>
              </w:rPr>
              <w:t xml:space="preserve">CONTRATO 21 2020 </w:t>
            </w:r>
          </w:p>
          <w:p w:rsidR="0076001D" w:rsidRDefault="0034129A">
            <w:pPr>
              <w:spacing w:after="0" w:line="242" w:lineRule="auto"/>
              <w:ind w:left="108" w:firstLine="0"/>
            </w:pPr>
            <w:r>
              <w:rPr>
                <w:sz w:val="20"/>
              </w:rPr>
              <w:t xml:space="preserve">-Implementación de las políticas de Gobierno Digital y Seguridad Digital del MIPG. </w:t>
            </w:r>
          </w:p>
          <w:p w:rsidR="0076001D" w:rsidRDefault="0034129A">
            <w:pPr>
              <w:spacing w:after="0" w:line="259" w:lineRule="auto"/>
              <w:ind w:left="108" w:firstLine="0"/>
              <w:jc w:val="left"/>
            </w:pPr>
            <w:r>
              <w:rPr>
                <w:sz w:val="20"/>
              </w:rPr>
              <w:t xml:space="preserve">-Implementación del Modelo de Seguridad y </w:t>
            </w:r>
          </w:p>
          <w:p w:rsidR="0076001D" w:rsidRDefault="0034129A">
            <w:pPr>
              <w:spacing w:after="0" w:line="259" w:lineRule="auto"/>
              <w:ind w:left="108" w:firstLine="0"/>
              <w:jc w:val="left"/>
            </w:pPr>
            <w:r>
              <w:rPr>
                <w:sz w:val="20"/>
              </w:rPr>
              <w:t xml:space="preserve">Privacidad de la Información." </w:t>
            </w:r>
          </w:p>
          <w:p w:rsidR="0076001D" w:rsidRDefault="0034129A">
            <w:pPr>
              <w:spacing w:after="0" w:line="259" w:lineRule="auto"/>
              <w:ind w:left="108" w:firstLine="0"/>
              <w:jc w:val="left"/>
            </w:pPr>
            <w:r>
              <w:rPr>
                <w:b/>
                <w:sz w:val="20"/>
              </w:rPr>
              <w:t xml:space="preserve">ADQUIRIR HERRAMIENTA DE BACKUP </w:t>
            </w:r>
          </w:p>
          <w:p w:rsidR="0076001D" w:rsidRDefault="0034129A">
            <w:pPr>
              <w:spacing w:after="3" w:line="240" w:lineRule="auto"/>
              <w:ind w:left="108" w:right="106" w:firstLine="0"/>
            </w:pPr>
            <w:r>
              <w:rPr>
                <w:sz w:val="20"/>
              </w:rPr>
              <w:t xml:space="preserve">-Ausencia de un sistema automático de copias de seguridad o de respaldo de la información y bases de datos institucionales. Procesos de </w:t>
            </w:r>
            <w:proofErr w:type="spellStart"/>
            <w:r>
              <w:rPr>
                <w:sz w:val="20"/>
              </w:rPr>
              <w:t>backup</w:t>
            </w:r>
            <w:proofErr w:type="spellEnd"/>
            <w:r>
              <w:rPr>
                <w:sz w:val="20"/>
              </w:rPr>
              <w:t xml:space="preserve"> de sistemas de información y bases de datos se realizan de manera manual. </w:t>
            </w:r>
            <w:r>
              <w:rPr>
                <w:b/>
                <w:sz w:val="20"/>
              </w:rPr>
              <w:t xml:space="preserve">IMPLEMENTACION IPV6 </w:t>
            </w:r>
          </w:p>
          <w:p w:rsidR="0076001D" w:rsidRDefault="0034129A">
            <w:pPr>
              <w:spacing w:after="0" w:line="259" w:lineRule="auto"/>
              <w:ind w:left="108" w:firstLine="0"/>
              <w:jc w:val="left"/>
            </w:pPr>
            <w:r>
              <w:rPr>
                <w:sz w:val="20"/>
              </w:rPr>
              <w:t xml:space="preserve">Implementación de la versión del protocolo IPv6. </w:t>
            </w:r>
          </w:p>
        </w:tc>
      </w:tr>
    </w:tbl>
    <w:p w:rsidR="0076001D" w:rsidRDefault="0076001D">
      <w:pPr>
        <w:spacing w:after="0" w:line="259" w:lineRule="auto"/>
        <w:ind w:left="-1200" w:right="71" w:firstLine="0"/>
        <w:jc w:val="left"/>
      </w:pPr>
    </w:p>
    <w:tbl>
      <w:tblPr>
        <w:tblStyle w:val="TableGrid"/>
        <w:tblW w:w="9620" w:type="dxa"/>
        <w:tblInd w:w="123" w:type="dxa"/>
        <w:tblCellMar>
          <w:top w:w="6" w:type="dxa"/>
          <w:left w:w="5" w:type="dxa"/>
        </w:tblCellMar>
        <w:tblLook w:val="04A0" w:firstRow="1" w:lastRow="0" w:firstColumn="1" w:lastColumn="0" w:noHBand="0" w:noVBand="1"/>
      </w:tblPr>
      <w:tblGrid>
        <w:gridCol w:w="574"/>
        <w:gridCol w:w="3692"/>
        <w:gridCol w:w="576"/>
        <w:gridCol w:w="4778"/>
      </w:tblGrid>
      <w:tr w:rsidR="0076001D">
        <w:trPr>
          <w:trHeight w:val="257"/>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t xml:space="preserve">N°. </w:t>
            </w:r>
          </w:p>
        </w:tc>
        <w:tc>
          <w:tcPr>
            <w:tcW w:w="369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 w:firstLine="0"/>
              <w:jc w:val="center"/>
            </w:pPr>
            <w:r>
              <w:rPr>
                <w:b/>
                <w:sz w:val="20"/>
              </w:rPr>
              <w:t xml:space="preserve">Recomendación 2019 </w:t>
            </w:r>
          </w:p>
        </w:tc>
        <w:tc>
          <w:tcPr>
            <w:tcW w:w="576"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778"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2" w:firstLine="0"/>
              <w:jc w:val="center"/>
            </w:pPr>
            <w:r>
              <w:rPr>
                <w:b/>
                <w:sz w:val="20"/>
              </w:rPr>
              <w:t xml:space="preserve">Seguimiento 2020 </w:t>
            </w:r>
          </w:p>
        </w:tc>
      </w:tr>
      <w:tr w:rsidR="0076001D">
        <w:trPr>
          <w:trHeight w:val="4840"/>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lastRenderedPageBreak/>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46" w:lineRule="auto"/>
              <w:ind w:left="0" w:right="511" w:firstLine="0"/>
              <w:jc w:val="right"/>
            </w:pPr>
            <w:r>
              <w:rPr>
                <w:rFonts w:ascii="Times New Roman" w:eastAsia="Times New Roman" w:hAnsi="Times New Roman" w:cs="Times New Roman"/>
              </w:rPr>
              <w:t xml:space="preserve"> </w:t>
            </w:r>
            <w:r>
              <w:rPr>
                <w:rFonts w:ascii="Times New Roman" w:eastAsia="Times New Roman" w:hAnsi="Times New Roman" w:cs="Times New Roman"/>
                <w:sz w:val="23"/>
              </w:rPr>
              <w:t xml:space="preserve"> </w:t>
            </w:r>
          </w:p>
          <w:p w:rsidR="0076001D" w:rsidRDefault="0034129A">
            <w:pPr>
              <w:spacing w:after="0" w:line="259" w:lineRule="auto"/>
              <w:ind w:left="0" w:right="-9" w:firstLine="0"/>
              <w:jc w:val="right"/>
            </w:pPr>
            <w:r>
              <w:rPr>
                <w:sz w:val="20"/>
              </w:rPr>
              <w:t>1</w:t>
            </w:r>
          </w:p>
        </w:tc>
        <w:tc>
          <w:tcPr>
            <w:tcW w:w="369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101" w:firstLine="0"/>
            </w:pPr>
            <w:r>
              <w:rPr>
                <w:sz w:val="20"/>
              </w:rPr>
              <w:t xml:space="preserve">Realizar un análisis de los lineamientos del MIPG y del MSPI para construir un plan de proyecto proyectado al 2020 que permita dar cumplimiento a las políticas de "Seguridad digital", "Gobierno digital" y "Transparencia acceso a la información y lucha contra la corrupción" de MIPG y al MSPI. De ser posible contratar consultoría especializada o en su defecto fortalecer los conocimientos del funcionario de planta a través de procesos de formación. </w:t>
            </w:r>
          </w:p>
          <w:p w:rsidR="0076001D" w:rsidRDefault="0034129A">
            <w:pPr>
              <w:spacing w:after="1" w:line="241" w:lineRule="auto"/>
              <w:ind w:left="108" w:right="105" w:firstLine="0"/>
            </w:pPr>
            <w:r>
              <w:rPr>
                <w:sz w:val="20"/>
              </w:rPr>
              <w:t xml:space="preserve">Para la implementación del MSPI es recomendable que el oficial de seguridad tenga conocimientos en implementación de los controles de seguridad de la información con base </w:t>
            </w:r>
          </w:p>
          <w:p w:rsidR="0076001D" w:rsidRDefault="0034129A">
            <w:pPr>
              <w:spacing w:after="0" w:line="259" w:lineRule="auto"/>
              <w:ind w:left="108" w:firstLine="0"/>
            </w:pPr>
            <w:proofErr w:type="gramStart"/>
            <w:r>
              <w:rPr>
                <w:sz w:val="20"/>
              </w:rPr>
              <w:t>en</w:t>
            </w:r>
            <w:proofErr w:type="gramEnd"/>
            <w:r>
              <w:rPr>
                <w:sz w:val="20"/>
              </w:rPr>
              <w:t xml:space="preserve"> la norma ISO 27001:2013 y dedicación suficiente al proyecto. </w:t>
            </w:r>
          </w:p>
        </w:tc>
        <w:tc>
          <w:tcPr>
            <w:tcW w:w="57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64" w:line="259" w:lineRule="auto"/>
              <w:ind w:left="0" w:firstLine="0"/>
              <w:jc w:val="left"/>
            </w:pPr>
            <w:r>
              <w:rPr>
                <w:rFonts w:ascii="Times New Roman" w:eastAsia="Times New Roman" w:hAnsi="Times New Roman" w:cs="Times New Roman"/>
                <w:sz w:val="11"/>
              </w:rPr>
              <w:t xml:space="preserve"> </w:t>
            </w:r>
          </w:p>
          <w:p w:rsidR="0076001D" w:rsidRDefault="0034129A">
            <w:pPr>
              <w:spacing w:after="0" w:line="259" w:lineRule="auto"/>
              <w:ind w:left="0" w:right="128" w:firstLine="0"/>
              <w:jc w:val="center"/>
            </w:pPr>
            <w:r>
              <w:rPr>
                <w:noProof/>
                <w:lang w:val="es-ES" w:eastAsia="es-ES"/>
              </w:rPr>
              <w:drawing>
                <wp:inline distT="0" distB="0" distL="0" distR="0">
                  <wp:extent cx="202565" cy="223291"/>
                  <wp:effectExtent l="0" t="0" r="0" b="0"/>
                  <wp:docPr id="4226" name="Picture 4226"/>
                  <wp:cNvGraphicFramePr/>
                  <a:graphic xmlns:a="http://schemas.openxmlformats.org/drawingml/2006/main">
                    <a:graphicData uri="http://schemas.openxmlformats.org/drawingml/2006/picture">
                      <pic:pic xmlns:pic="http://schemas.openxmlformats.org/drawingml/2006/picture">
                        <pic:nvPicPr>
                          <pic:cNvPr id="4226" name="Picture 4226"/>
                          <pic:cNvPicPr/>
                        </pic:nvPicPr>
                        <pic:blipFill>
                          <a:blip r:embed="rId74"/>
                          <a:stretch>
                            <a:fillRect/>
                          </a:stretch>
                        </pic:blipFill>
                        <pic:spPr>
                          <a:xfrm>
                            <a:off x="0" y="0"/>
                            <a:ext cx="202565" cy="223291"/>
                          </a:xfrm>
                          <a:prstGeom prst="rect">
                            <a:avLst/>
                          </a:prstGeom>
                        </pic:spPr>
                      </pic:pic>
                    </a:graphicData>
                  </a:graphic>
                </wp:inline>
              </w:drawing>
            </w:r>
            <w:r>
              <w:rPr>
                <w:rFonts w:ascii="Times New Roman" w:eastAsia="Times New Roman" w:hAnsi="Times New Roman" w:cs="Times New Roman"/>
                <w:sz w:val="20"/>
              </w:rPr>
              <w:t xml:space="preserve"> </w:t>
            </w:r>
          </w:p>
        </w:tc>
        <w:tc>
          <w:tcPr>
            <w:tcW w:w="477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00" w:firstLine="0"/>
            </w:pPr>
            <w:r>
              <w:rPr>
                <w:sz w:val="20"/>
              </w:rPr>
              <w:t xml:space="preserve">Las debilidades identificadas en el Plan de seguridad y privacidad de la información (5.1.4), en el PETI y en el Plan de Tratamiento de Riesgos (5.1.3), evidencian que no hay un conocimiento profundo de los requisitos de implementación. Se mantiene la recomendación de asignar como oficial de seguridad y/o persona responsable de la implementación del MSPI a un ingeniero de sistemas con conocimientos técnicos de seguridad de la información, ya que a diferencia de otras normas como ISO9001, la ISO 27001 y en especial su anexo 27002, requieren de conocimiento especializado para que no se limite a una implementación documental. </w:t>
            </w:r>
          </w:p>
        </w:tc>
      </w:tr>
      <w:tr w:rsidR="0076001D">
        <w:trPr>
          <w:trHeight w:val="4186"/>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0" w:line="259" w:lineRule="auto"/>
              <w:ind w:left="0" w:firstLine="0"/>
              <w:jc w:val="left"/>
            </w:pPr>
            <w:r>
              <w:rPr>
                <w:rFonts w:ascii="Times New Roman" w:eastAsia="Times New Roman" w:hAnsi="Times New Roman" w:cs="Times New Roman"/>
                <w:sz w:val="17"/>
              </w:rPr>
              <w:t xml:space="preserve"> </w:t>
            </w:r>
          </w:p>
          <w:p w:rsidR="0076001D" w:rsidRDefault="0034129A">
            <w:pPr>
              <w:spacing w:after="0" w:line="259" w:lineRule="auto"/>
              <w:ind w:left="0" w:right="-9" w:firstLine="0"/>
              <w:jc w:val="right"/>
            </w:pPr>
            <w:r>
              <w:rPr>
                <w:sz w:val="20"/>
              </w:rPr>
              <w:t>2</w:t>
            </w:r>
          </w:p>
        </w:tc>
        <w:tc>
          <w:tcPr>
            <w:tcW w:w="3692"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1" w:lineRule="auto"/>
              <w:ind w:left="108" w:right="103" w:firstLine="0"/>
            </w:pPr>
            <w:r>
              <w:rPr>
                <w:sz w:val="20"/>
              </w:rPr>
              <w:t xml:space="preserve">Incorporar en los Indicadores y Riesgos del PETIC indicadores asociados a la medición de cumplimiento, productividad y calidad en los servicios </w:t>
            </w:r>
          </w:p>
          <w:p w:rsidR="0076001D" w:rsidRDefault="0034129A">
            <w:pPr>
              <w:spacing w:after="0" w:line="241" w:lineRule="auto"/>
              <w:ind w:left="108" w:right="104" w:firstLine="0"/>
            </w:pPr>
            <w:r>
              <w:rPr>
                <w:sz w:val="20"/>
              </w:rPr>
              <w:t xml:space="preserve">TIC y proyectos, seleccionando aquellos que sean pertinentes entre los recomendados por el Marco de </w:t>
            </w:r>
          </w:p>
          <w:p w:rsidR="0076001D" w:rsidRDefault="0034129A">
            <w:pPr>
              <w:spacing w:after="1" w:line="240" w:lineRule="auto"/>
              <w:ind w:left="108" w:right="102" w:firstLine="0"/>
            </w:pPr>
            <w:r>
              <w:rPr>
                <w:sz w:val="20"/>
              </w:rPr>
              <w:t xml:space="preserve">Referencia de Arquitectura Empresarial de TI, especialmente en el dominio Gobierno de TI: </w:t>
            </w:r>
          </w:p>
          <w:p w:rsidR="0076001D" w:rsidRDefault="0034129A">
            <w:pPr>
              <w:spacing w:after="0" w:line="259" w:lineRule="auto"/>
              <w:ind w:left="108" w:right="105" w:firstLine="0"/>
            </w:pPr>
            <w:r>
              <w:rPr>
                <w:sz w:val="20"/>
              </w:rPr>
              <w:t xml:space="preserve">Antes de formular el cálculo de indicadores se recomienda atender las recomendaciones de centralización de mesa de servicio del numeral 3.5.2 informe 2019 </w:t>
            </w:r>
          </w:p>
        </w:tc>
        <w:tc>
          <w:tcPr>
            <w:tcW w:w="57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82" w:firstLine="0"/>
              <w:jc w:val="left"/>
            </w:pPr>
            <w:r>
              <w:rPr>
                <w:noProof/>
                <w:lang w:val="es-ES" w:eastAsia="es-ES"/>
              </w:rPr>
              <w:drawing>
                <wp:inline distT="0" distB="0" distL="0" distR="0">
                  <wp:extent cx="213995" cy="218465"/>
                  <wp:effectExtent l="0" t="0" r="0" b="0"/>
                  <wp:docPr id="4228" name="Picture 4228"/>
                  <wp:cNvGraphicFramePr/>
                  <a:graphic xmlns:a="http://schemas.openxmlformats.org/drawingml/2006/main">
                    <a:graphicData uri="http://schemas.openxmlformats.org/drawingml/2006/picture">
                      <pic:pic xmlns:pic="http://schemas.openxmlformats.org/drawingml/2006/picture">
                        <pic:nvPicPr>
                          <pic:cNvPr id="4228" name="Picture 4228"/>
                          <pic:cNvPicPr/>
                        </pic:nvPicPr>
                        <pic:blipFill>
                          <a:blip r:embed="rId75"/>
                          <a:stretch>
                            <a:fillRect/>
                          </a:stretch>
                        </pic:blipFill>
                        <pic:spPr>
                          <a:xfrm>
                            <a:off x="0" y="0"/>
                            <a:ext cx="213995" cy="218465"/>
                          </a:xfrm>
                          <a:prstGeom prst="rect">
                            <a:avLst/>
                          </a:prstGeom>
                        </pic:spPr>
                      </pic:pic>
                    </a:graphicData>
                  </a:graphic>
                </wp:inline>
              </w:drawing>
            </w:r>
          </w:p>
        </w:tc>
        <w:tc>
          <w:tcPr>
            <w:tcW w:w="4778"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1" w:lineRule="auto"/>
              <w:ind w:left="108" w:right="94" w:firstLine="0"/>
            </w:pPr>
            <w:r>
              <w:rPr>
                <w:sz w:val="20"/>
              </w:rPr>
              <w:t xml:space="preserve">No se observa avance en la optimización de indicadores conforme a los lineamientos de Gobierno Digital para la Gestión de TI, Gobierno de TI, MSPI y tratamiento efectivo de riesgos. </w:t>
            </w:r>
          </w:p>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08" w:firstLine="0"/>
              <w:jc w:val="left"/>
            </w:pPr>
            <w:r>
              <w:rPr>
                <w:sz w:val="20"/>
              </w:rPr>
              <w:t xml:space="preserve">Ver observaciones en este numeral </w:t>
            </w:r>
          </w:p>
        </w:tc>
      </w:tr>
      <w:tr w:rsidR="0076001D">
        <w:trPr>
          <w:trHeight w:val="2785"/>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right="-9" w:firstLine="0"/>
              <w:jc w:val="right"/>
            </w:pPr>
            <w:r>
              <w:rPr>
                <w:sz w:val="20"/>
              </w:rPr>
              <w:t>3</w:t>
            </w:r>
          </w:p>
        </w:tc>
        <w:tc>
          <w:tcPr>
            <w:tcW w:w="3692" w:type="dxa"/>
            <w:tcBorders>
              <w:top w:val="single" w:sz="4" w:space="0" w:color="000000"/>
              <w:left w:val="single" w:sz="4" w:space="0" w:color="000000"/>
              <w:bottom w:val="single" w:sz="4" w:space="0" w:color="000000"/>
              <w:right w:val="single" w:sz="4" w:space="0" w:color="000000"/>
            </w:tcBorders>
          </w:tcPr>
          <w:p w:rsidR="0076001D" w:rsidRDefault="0034129A">
            <w:pPr>
              <w:spacing w:after="16" w:line="241" w:lineRule="auto"/>
              <w:ind w:left="108" w:firstLine="0"/>
            </w:pPr>
            <w:r>
              <w:rPr>
                <w:sz w:val="20"/>
              </w:rPr>
              <w:t xml:space="preserve">Con relación a los Cronogramas para Control del Proyecto se recomienda: </w:t>
            </w:r>
          </w:p>
          <w:p w:rsidR="0076001D" w:rsidRDefault="0034129A">
            <w:pPr>
              <w:spacing w:after="0" w:line="259" w:lineRule="auto"/>
              <w:ind w:left="468" w:right="90" w:hanging="360"/>
            </w:pPr>
            <w:r>
              <w:rPr>
                <w:rFonts w:ascii="Segoe UI Symbol" w:eastAsia="Segoe UI Symbol" w:hAnsi="Segoe UI Symbol" w:cs="Segoe UI Symbol"/>
                <w:sz w:val="20"/>
              </w:rPr>
              <w:t>•</w:t>
            </w:r>
            <w:r>
              <w:rPr>
                <w:sz w:val="20"/>
              </w:rPr>
              <w:t xml:space="preserve"> Garantizar que para cada proyecto del PETIC se establezcan planes de acción tácticos que incluyan las actividades a ser ejecutadas por personal interno o por terceros para garantizar que los activos de información adquiridos queden debidamente     configurados     de acuerdo a las mejores prácticas y que    el    conocimiento    para  su </w:t>
            </w:r>
          </w:p>
        </w:tc>
        <w:tc>
          <w:tcPr>
            <w:tcW w:w="57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82" w:firstLine="0"/>
              <w:jc w:val="left"/>
            </w:pPr>
            <w:r>
              <w:rPr>
                <w:noProof/>
                <w:lang w:val="es-ES" w:eastAsia="es-ES"/>
              </w:rPr>
              <w:drawing>
                <wp:inline distT="0" distB="0" distL="0" distR="0">
                  <wp:extent cx="213995" cy="218466"/>
                  <wp:effectExtent l="0" t="0" r="0" b="0"/>
                  <wp:docPr id="4230" name="Picture 4230"/>
                  <wp:cNvGraphicFramePr/>
                  <a:graphic xmlns:a="http://schemas.openxmlformats.org/drawingml/2006/main">
                    <a:graphicData uri="http://schemas.openxmlformats.org/drawingml/2006/picture">
                      <pic:pic xmlns:pic="http://schemas.openxmlformats.org/drawingml/2006/picture">
                        <pic:nvPicPr>
                          <pic:cNvPr id="4230" name="Picture 4230"/>
                          <pic:cNvPicPr/>
                        </pic:nvPicPr>
                        <pic:blipFill>
                          <a:blip r:embed="rId75"/>
                          <a:stretch>
                            <a:fillRect/>
                          </a:stretch>
                        </pic:blipFill>
                        <pic:spPr>
                          <a:xfrm>
                            <a:off x="0" y="0"/>
                            <a:ext cx="213995" cy="218466"/>
                          </a:xfrm>
                          <a:prstGeom prst="rect">
                            <a:avLst/>
                          </a:prstGeom>
                        </pic:spPr>
                      </pic:pic>
                    </a:graphicData>
                  </a:graphic>
                </wp:inline>
              </w:drawing>
            </w:r>
          </w:p>
        </w:tc>
        <w:tc>
          <w:tcPr>
            <w:tcW w:w="477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49" w:firstLine="0"/>
              <w:jc w:val="left"/>
            </w:pPr>
            <w:r>
              <w:rPr>
                <w:sz w:val="20"/>
              </w:rPr>
              <w:t xml:space="preserve">Los siguientes son los cronogramas entregados a la auditoría: </w:t>
            </w:r>
          </w:p>
          <w:p w:rsidR="0076001D" w:rsidRDefault="0034129A">
            <w:pPr>
              <w:numPr>
                <w:ilvl w:val="0"/>
                <w:numId w:val="35"/>
              </w:numPr>
              <w:spacing w:after="0" w:line="259" w:lineRule="auto"/>
              <w:ind w:left="469" w:hanging="363"/>
              <w:jc w:val="left"/>
            </w:pPr>
            <w:r>
              <w:rPr>
                <w:sz w:val="20"/>
              </w:rPr>
              <w:t xml:space="preserve">Plan Tratamiento de </w:t>
            </w:r>
            <w:r>
              <w:rPr>
                <w:sz w:val="20"/>
              </w:rPr>
              <w:tab/>
              <w:t xml:space="preserve">riesgos </w:t>
            </w:r>
            <w:proofErr w:type="spellStart"/>
            <w:r>
              <w:rPr>
                <w:sz w:val="20"/>
              </w:rPr>
              <w:t>info</w:t>
            </w:r>
            <w:proofErr w:type="spellEnd"/>
            <w:r>
              <w:rPr>
                <w:sz w:val="20"/>
              </w:rPr>
              <w:t xml:space="preserve"> </w:t>
            </w:r>
            <w:r>
              <w:rPr>
                <w:sz w:val="20"/>
              </w:rPr>
              <w:tab/>
              <w:t xml:space="preserve">2020 </w:t>
            </w:r>
          </w:p>
          <w:p w:rsidR="0076001D" w:rsidRDefault="0034129A">
            <w:pPr>
              <w:spacing w:after="0" w:line="259" w:lineRule="auto"/>
              <w:ind w:left="468" w:firstLine="0"/>
              <w:jc w:val="left"/>
            </w:pPr>
            <w:r>
              <w:rPr>
                <w:sz w:val="20"/>
              </w:rPr>
              <w:t xml:space="preserve">Seguimiento II.xlsx </w:t>
            </w:r>
          </w:p>
          <w:p w:rsidR="0076001D" w:rsidRDefault="0034129A">
            <w:pPr>
              <w:numPr>
                <w:ilvl w:val="0"/>
                <w:numId w:val="35"/>
              </w:numPr>
              <w:spacing w:after="0" w:line="241" w:lineRule="auto"/>
              <w:ind w:left="469" w:hanging="363"/>
              <w:jc w:val="left"/>
            </w:pPr>
            <w:r>
              <w:rPr>
                <w:sz w:val="20"/>
              </w:rPr>
              <w:t xml:space="preserve">Plan Seguridad y Privacidad de la </w:t>
            </w:r>
            <w:proofErr w:type="spellStart"/>
            <w:r>
              <w:rPr>
                <w:sz w:val="20"/>
              </w:rPr>
              <w:t>Info</w:t>
            </w:r>
            <w:proofErr w:type="spellEnd"/>
            <w:r>
              <w:rPr>
                <w:sz w:val="20"/>
              </w:rPr>
              <w:t xml:space="preserve"> 2020 Seguimiento II.xlsx </w:t>
            </w:r>
          </w:p>
          <w:p w:rsidR="0076001D" w:rsidRDefault="0034129A">
            <w:pPr>
              <w:numPr>
                <w:ilvl w:val="0"/>
                <w:numId w:val="35"/>
              </w:numPr>
              <w:spacing w:after="0" w:line="241" w:lineRule="auto"/>
              <w:ind w:left="469" w:hanging="363"/>
              <w:jc w:val="left"/>
            </w:pPr>
            <w:r>
              <w:rPr>
                <w:sz w:val="20"/>
              </w:rPr>
              <w:t xml:space="preserve">Plan de Mejoramiento Seguimiento II trimestre OCI.xlsx </w:t>
            </w:r>
          </w:p>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08" w:right="108" w:firstLine="0"/>
            </w:pPr>
            <w:r>
              <w:rPr>
                <w:sz w:val="20"/>
              </w:rPr>
              <w:t xml:space="preserve">Sobre los cuales se emiten las siguientes observaciones con respecto al seguimiento a las recomendaciones: </w:t>
            </w:r>
          </w:p>
        </w:tc>
      </w:tr>
    </w:tbl>
    <w:p w:rsidR="0076001D" w:rsidRDefault="0076001D">
      <w:pPr>
        <w:spacing w:after="0" w:line="259" w:lineRule="auto"/>
        <w:ind w:left="-1200" w:right="71" w:firstLine="0"/>
        <w:jc w:val="left"/>
      </w:pPr>
    </w:p>
    <w:tbl>
      <w:tblPr>
        <w:tblStyle w:val="TableGrid"/>
        <w:tblW w:w="9620" w:type="dxa"/>
        <w:tblInd w:w="123" w:type="dxa"/>
        <w:tblCellMar>
          <w:top w:w="6" w:type="dxa"/>
          <w:left w:w="5" w:type="dxa"/>
          <w:right w:w="45" w:type="dxa"/>
        </w:tblCellMar>
        <w:tblLook w:val="04A0" w:firstRow="1" w:lastRow="0" w:firstColumn="1" w:lastColumn="0" w:noHBand="0" w:noVBand="1"/>
      </w:tblPr>
      <w:tblGrid>
        <w:gridCol w:w="574"/>
        <w:gridCol w:w="3692"/>
        <w:gridCol w:w="576"/>
        <w:gridCol w:w="4778"/>
      </w:tblGrid>
      <w:tr w:rsidR="0076001D">
        <w:trPr>
          <w:trHeight w:val="257"/>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lastRenderedPageBreak/>
              <w:t xml:space="preserve">N°. </w:t>
            </w:r>
          </w:p>
        </w:tc>
        <w:tc>
          <w:tcPr>
            <w:tcW w:w="369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6" w:firstLine="0"/>
              <w:jc w:val="center"/>
            </w:pPr>
            <w:r>
              <w:rPr>
                <w:b/>
                <w:sz w:val="20"/>
              </w:rPr>
              <w:t xml:space="preserve">Recomendación 2019 </w:t>
            </w:r>
          </w:p>
        </w:tc>
        <w:tc>
          <w:tcPr>
            <w:tcW w:w="576"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778"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3" w:firstLine="0"/>
              <w:jc w:val="center"/>
            </w:pPr>
            <w:r>
              <w:rPr>
                <w:b/>
                <w:sz w:val="20"/>
              </w:rPr>
              <w:t xml:space="preserve">Seguimiento 2020 </w:t>
            </w:r>
          </w:p>
        </w:tc>
      </w:tr>
      <w:tr w:rsidR="0076001D">
        <w:trPr>
          <w:trHeight w:val="10198"/>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3692" w:type="dxa"/>
            <w:tcBorders>
              <w:top w:val="single" w:sz="4" w:space="0" w:color="000000"/>
              <w:left w:val="single" w:sz="4" w:space="0" w:color="000000"/>
              <w:bottom w:val="single" w:sz="4" w:space="0" w:color="000000"/>
              <w:right w:val="single" w:sz="4" w:space="0" w:color="000000"/>
            </w:tcBorders>
          </w:tcPr>
          <w:p w:rsidR="0076001D" w:rsidRDefault="0034129A">
            <w:pPr>
              <w:spacing w:after="16" w:line="241" w:lineRule="auto"/>
              <w:ind w:left="468" w:firstLine="0"/>
            </w:pPr>
            <w:proofErr w:type="gramStart"/>
            <w:r>
              <w:rPr>
                <w:sz w:val="20"/>
              </w:rPr>
              <w:t>operación</w:t>
            </w:r>
            <w:proofErr w:type="gramEnd"/>
            <w:r>
              <w:rPr>
                <w:sz w:val="20"/>
              </w:rPr>
              <w:t xml:space="preserve"> y administración quede transferido al instituto. </w:t>
            </w:r>
          </w:p>
          <w:p w:rsidR="0076001D" w:rsidRDefault="0034129A">
            <w:pPr>
              <w:numPr>
                <w:ilvl w:val="0"/>
                <w:numId w:val="36"/>
              </w:numPr>
              <w:spacing w:after="16" w:line="241" w:lineRule="auto"/>
              <w:ind w:right="57" w:hanging="360"/>
            </w:pPr>
            <w:r>
              <w:rPr>
                <w:sz w:val="20"/>
              </w:rPr>
              <w:t xml:space="preserve">Para todos los planes tácticos establecer las fechas y responsables con base en un análisis de estimación de esfuerzo por tareas versus la capacidad de trabajo instalada. Esto con el fin de identificar necesidades de recurso humano y establecer fechas viables de cumplimiento. </w:t>
            </w:r>
          </w:p>
          <w:p w:rsidR="0076001D" w:rsidRDefault="0034129A">
            <w:pPr>
              <w:numPr>
                <w:ilvl w:val="0"/>
                <w:numId w:val="36"/>
              </w:numPr>
              <w:spacing w:after="16" w:line="241" w:lineRule="auto"/>
              <w:ind w:right="57" w:hanging="360"/>
            </w:pPr>
            <w:r>
              <w:rPr>
                <w:sz w:val="20"/>
              </w:rPr>
              <w:t xml:space="preserve">Antes del cálculo de capacidad disponible deben sustraerse los tiempos requeridos por cada recurso para la atención de funciones de rutina. </w:t>
            </w:r>
          </w:p>
          <w:p w:rsidR="0076001D" w:rsidRDefault="0034129A">
            <w:pPr>
              <w:numPr>
                <w:ilvl w:val="0"/>
                <w:numId w:val="36"/>
              </w:numPr>
              <w:spacing w:after="16" w:line="241" w:lineRule="auto"/>
              <w:ind w:right="57" w:hanging="360"/>
            </w:pPr>
            <w:r>
              <w:rPr>
                <w:sz w:val="20"/>
              </w:rPr>
              <w:t xml:space="preserve">Establecer criterios de aceptación de las actividades programadas para determinar su verdadero estado de cierre. De ser posible implementar pruebas cruzadas para verificar la calidad de los resultados. </w:t>
            </w:r>
          </w:p>
          <w:p w:rsidR="0076001D" w:rsidRDefault="0034129A">
            <w:pPr>
              <w:numPr>
                <w:ilvl w:val="0"/>
                <w:numId w:val="36"/>
              </w:numPr>
              <w:spacing w:after="11" w:line="241" w:lineRule="auto"/>
              <w:ind w:right="57" w:hanging="360"/>
            </w:pPr>
            <w:r>
              <w:rPr>
                <w:sz w:val="20"/>
              </w:rPr>
              <w:t xml:space="preserve">Asignar tareas de manera individual con el fin de medir cumplimiento y productividad por recurso. </w:t>
            </w:r>
          </w:p>
          <w:p w:rsidR="0076001D" w:rsidRDefault="0034129A">
            <w:pPr>
              <w:numPr>
                <w:ilvl w:val="0"/>
                <w:numId w:val="36"/>
              </w:numPr>
              <w:spacing w:after="0" w:line="259" w:lineRule="auto"/>
              <w:ind w:right="57" w:hanging="360"/>
            </w:pPr>
            <w:r>
              <w:rPr>
                <w:sz w:val="20"/>
              </w:rPr>
              <w:t xml:space="preserve">Priorizar las tareas de acuerdo con: </w:t>
            </w:r>
          </w:p>
          <w:p w:rsidR="0076001D" w:rsidRDefault="0034129A">
            <w:pPr>
              <w:numPr>
                <w:ilvl w:val="1"/>
                <w:numId w:val="36"/>
              </w:numPr>
              <w:spacing w:after="0" w:line="259" w:lineRule="auto"/>
              <w:ind w:hanging="360"/>
            </w:pPr>
            <w:r>
              <w:rPr>
                <w:sz w:val="20"/>
              </w:rPr>
              <w:t xml:space="preserve">Prioridad </w:t>
            </w:r>
            <w:r>
              <w:rPr>
                <w:sz w:val="20"/>
              </w:rPr>
              <w:tab/>
              <w:t xml:space="preserve">1: </w:t>
            </w:r>
            <w:r>
              <w:rPr>
                <w:sz w:val="20"/>
              </w:rPr>
              <w:tab/>
              <w:t xml:space="preserve">requisitos </w:t>
            </w:r>
          </w:p>
          <w:p w:rsidR="0076001D" w:rsidRDefault="0034129A">
            <w:pPr>
              <w:spacing w:after="0" w:line="259" w:lineRule="auto"/>
              <w:ind w:left="0" w:right="215" w:firstLine="0"/>
              <w:jc w:val="right"/>
            </w:pPr>
            <w:r>
              <w:rPr>
                <w:sz w:val="20"/>
              </w:rPr>
              <w:t xml:space="preserve">regulatorios o normativos </w:t>
            </w:r>
          </w:p>
          <w:p w:rsidR="0076001D" w:rsidRDefault="0034129A">
            <w:pPr>
              <w:numPr>
                <w:ilvl w:val="1"/>
                <w:numId w:val="36"/>
              </w:numPr>
              <w:spacing w:after="0" w:line="247" w:lineRule="auto"/>
              <w:ind w:hanging="360"/>
            </w:pPr>
            <w:r>
              <w:rPr>
                <w:sz w:val="20"/>
              </w:rPr>
              <w:t xml:space="preserve">Prioridad 2: de valor agregado para los </w:t>
            </w:r>
          </w:p>
          <w:p w:rsidR="0076001D" w:rsidRDefault="0034129A">
            <w:pPr>
              <w:spacing w:after="0" w:line="259" w:lineRule="auto"/>
              <w:ind w:left="1188" w:firstLine="0"/>
              <w:jc w:val="left"/>
            </w:pPr>
            <w:r>
              <w:rPr>
                <w:sz w:val="20"/>
              </w:rPr>
              <w:t xml:space="preserve">procesos misionales </w:t>
            </w:r>
          </w:p>
          <w:p w:rsidR="0076001D" w:rsidRDefault="0034129A">
            <w:pPr>
              <w:numPr>
                <w:ilvl w:val="1"/>
                <w:numId w:val="36"/>
              </w:numPr>
              <w:spacing w:after="0" w:line="242" w:lineRule="auto"/>
              <w:ind w:hanging="360"/>
            </w:pPr>
            <w:r>
              <w:rPr>
                <w:sz w:val="20"/>
              </w:rPr>
              <w:t xml:space="preserve">Prioridad 3: de valor agregado para el desempeño o seguridad de la plataforma tecnológica </w:t>
            </w:r>
          </w:p>
          <w:p w:rsidR="0076001D" w:rsidRDefault="0034129A">
            <w:pPr>
              <w:numPr>
                <w:ilvl w:val="1"/>
                <w:numId w:val="36"/>
              </w:numPr>
              <w:spacing w:after="1" w:line="241" w:lineRule="auto"/>
              <w:ind w:hanging="360"/>
            </w:pPr>
            <w:r>
              <w:rPr>
                <w:sz w:val="20"/>
              </w:rPr>
              <w:t xml:space="preserve">Prioridad 4: de valor agregado para los procesos de apoyo </w:t>
            </w:r>
          </w:p>
          <w:p w:rsidR="0076001D" w:rsidRDefault="0034129A">
            <w:pPr>
              <w:numPr>
                <w:ilvl w:val="1"/>
                <w:numId w:val="36"/>
              </w:numPr>
              <w:spacing w:after="0" w:line="259" w:lineRule="auto"/>
              <w:ind w:hanging="360"/>
            </w:pPr>
            <w:r>
              <w:rPr>
                <w:sz w:val="20"/>
              </w:rPr>
              <w:t xml:space="preserve">Prioridad </w:t>
            </w:r>
            <w:r>
              <w:rPr>
                <w:sz w:val="20"/>
              </w:rPr>
              <w:tab/>
              <w:t xml:space="preserve">5: </w:t>
            </w:r>
            <w:r>
              <w:rPr>
                <w:sz w:val="20"/>
              </w:rPr>
              <w:tab/>
              <w:t xml:space="preserve">relevancia </w:t>
            </w:r>
          </w:p>
          <w:p w:rsidR="0076001D" w:rsidRDefault="0034129A">
            <w:pPr>
              <w:spacing w:after="0" w:line="259" w:lineRule="auto"/>
              <w:ind w:left="1188" w:firstLine="0"/>
              <w:jc w:val="left"/>
            </w:pPr>
            <w:r>
              <w:rPr>
                <w:sz w:val="20"/>
              </w:rPr>
              <w:t xml:space="preserve">particular del solicitante </w:t>
            </w:r>
          </w:p>
        </w:tc>
        <w:tc>
          <w:tcPr>
            <w:tcW w:w="57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77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numPr>
                <w:ilvl w:val="0"/>
                <w:numId w:val="37"/>
              </w:numPr>
              <w:spacing w:after="15" w:line="241" w:lineRule="auto"/>
              <w:ind w:left="469" w:right="57" w:hanging="363"/>
            </w:pPr>
            <w:r>
              <w:rPr>
                <w:sz w:val="20"/>
              </w:rPr>
              <w:t xml:space="preserve">No hay actividades detalladas por cada uno de los proyectos del PETI, tal es el caso de RENATA y Migración Humano, que, si bien están a cargo de terceros, si incluye actividades de seguimiento, control y recepción que implican esfuerzo. </w:t>
            </w:r>
          </w:p>
          <w:p w:rsidR="0076001D" w:rsidRDefault="0034129A">
            <w:pPr>
              <w:numPr>
                <w:ilvl w:val="0"/>
                <w:numId w:val="37"/>
              </w:numPr>
              <w:spacing w:after="13" w:line="241" w:lineRule="auto"/>
              <w:ind w:left="469" w:right="57" w:hanging="363"/>
            </w:pPr>
            <w:r>
              <w:rPr>
                <w:sz w:val="20"/>
              </w:rPr>
              <w:t xml:space="preserve">Las fechas se presentan en bloques de meses paralelizados, sin análisis de esfuerzo vs capacidad instalada, lo cual impide el </w:t>
            </w:r>
            <w:proofErr w:type="spellStart"/>
            <w:r>
              <w:rPr>
                <w:sz w:val="20"/>
              </w:rPr>
              <w:t>calculo</w:t>
            </w:r>
            <w:proofErr w:type="spellEnd"/>
            <w:r>
              <w:rPr>
                <w:sz w:val="20"/>
              </w:rPr>
              <w:t xml:space="preserve"> de indicadores de cumplimiento y/o productividad. (Ver imagen abajo consolidada) </w:t>
            </w:r>
          </w:p>
          <w:p w:rsidR="0076001D" w:rsidRDefault="0034129A">
            <w:pPr>
              <w:numPr>
                <w:ilvl w:val="0"/>
                <w:numId w:val="37"/>
              </w:numPr>
              <w:spacing w:after="14" w:line="240" w:lineRule="auto"/>
              <w:ind w:left="469" w:right="57" w:hanging="363"/>
            </w:pPr>
            <w:r>
              <w:rPr>
                <w:sz w:val="20"/>
              </w:rPr>
              <w:t xml:space="preserve">No se han incluido los criterios de aceptación por entregables de cada actividad, lo cual impide obtener indicadores de calidad. </w:t>
            </w:r>
          </w:p>
          <w:p w:rsidR="0076001D" w:rsidRDefault="0034129A">
            <w:pPr>
              <w:numPr>
                <w:ilvl w:val="0"/>
                <w:numId w:val="37"/>
              </w:numPr>
              <w:spacing w:after="12" w:line="242" w:lineRule="auto"/>
              <w:ind w:left="469" w:right="57" w:hanging="363"/>
            </w:pPr>
            <w:r>
              <w:rPr>
                <w:sz w:val="20"/>
              </w:rPr>
              <w:t xml:space="preserve">Las tareas no están asignadas de manera individual. De las 47 actividades, solo 11 están asignadas de manera individual, lo cual impide la medición por recurso. </w:t>
            </w:r>
          </w:p>
          <w:p w:rsidR="0076001D" w:rsidRDefault="0034129A">
            <w:pPr>
              <w:numPr>
                <w:ilvl w:val="0"/>
                <w:numId w:val="37"/>
              </w:numPr>
              <w:spacing w:after="10" w:line="238" w:lineRule="auto"/>
              <w:ind w:left="469" w:right="57" w:hanging="363"/>
            </w:pPr>
            <w:r>
              <w:rPr>
                <w:sz w:val="20"/>
              </w:rPr>
              <w:t xml:space="preserve">Las siguientes actividades están repetidas en dos cronogramas: </w:t>
            </w:r>
          </w:p>
          <w:p w:rsidR="0076001D" w:rsidRDefault="0034129A">
            <w:pPr>
              <w:numPr>
                <w:ilvl w:val="1"/>
                <w:numId w:val="37"/>
              </w:numPr>
              <w:spacing w:after="3" w:line="259" w:lineRule="auto"/>
              <w:ind w:hanging="144"/>
            </w:pPr>
            <w:r>
              <w:rPr>
                <w:sz w:val="20"/>
              </w:rPr>
              <w:t xml:space="preserve">Crear Servidor Web Virtual </w:t>
            </w:r>
          </w:p>
          <w:p w:rsidR="0076001D" w:rsidRDefault="0034129A">
            <w:pPr>
              <w:numPr>
                <w:ilvl w:val="1"/>
                <w:numId w:val="37"/>
              </w:numPr>
              <w:spacing w:after="0" w:line="267" w:lineRule="auto"/>
              <w:ind w:hanging="144"/>
            </w:pPr>
            <w:r>
              <w:rPr>
                <w:sz w:val="20"/>
              </w:rPr>
              <w:t xml:space="preserve">Divulgar y gestionar los boletines informativos de seguridad, Integrar con CSIRT de Gobierno </w:t>
            </w:r>
          </w:p>
          <w:p w:rsidR="0076001D" w:rsidRDefault="0034129A">
            <w:pPr>
              <w:numPr>
                <w:ilvl w:val="1"/>
                <w:numId w:val="37"/>
              </w:numPr>
              <w:spacing w:after="0" w:line="257" w:lineRule="auto"/>
              <w:ind w:hanging="144"/>
            </w:pPr>
            <w:r>
              <w:rPr>
                <w:sz w:val="20"/>
              </w:rPr>
              <w:t xml:space="preserve">Identificar y actualizar los inventarios con los nuevos AI del Área de Tecnología. </w:t>
            </w:r>
          </w:p>
          <w:p w:rsidR="0076001D" w:rsidRDefault="0034129A">
            <w:pPr>
              <w:numPr>
                <w:ilvl w:val="1"/>
                <w:numId w:val="37"/>
              </w:numPr>
              <w:spacing w:after="0" w:line="248" w:lineRule="auto"/>
              <w:ind w:hanging="144"/>
            </w:pPr>
            <w:r>
              <w:rPr>
                <w:sz w:val="20"/>
              </w:rPr>
              <w:t xml:space="preserve">Reportar al director de la Entidad la información recolectada en el instrumento de AI que se identifica y corresponde a las bases de datos del Área de Tecnología. </w:t>
            </w:r>
          </w:p>
          <w:p w:rsidR="0076001D" w:rsidRDefault="0034129A">
            <w:pPr>
              <w:numPr>
                <w:ilvl w:val="1"/>
                <w:numId w:val="37"/>
              </w:numPr>
              <w:spacing w:after="0" w:line="259" w:lineRule="auto"/>
              <w:ind w:hanging="144"/>
            </w:pPr>
            <w:r>
              <w:rPr>
                <w:sz w:val="20"/>
              </w:rPr>
              <w:t xml:space="preserve">Revisar la guía GU-GT-12-01 Guía para la gestión de incidentes de seguridad de la información y el formato FT-GT-12-21 Registro de incidentes de seguridad de la información </w:t>
            </w:r>
          </w:p>
        </w:tc>
      </w:tr>
      <w:tr w:rsidR="0076001D">
        <w:trPr>
          <w:trHeight w:val="470"/>
        </w:trPr>
        <w:tc>
          <w:tcPr>
            <w:tcW w:w="9620" w:type="dxa"/>
            <w:gridSpan w:val="4"/>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firstLine="0"/>
              <w:jc w:val="left"/>
            </w:pPr>
            <w:r>
              <w:rPr>
                <w:sz w:val="20"/>
              </w:rPr>
              <w:t xml:space="preserve">CRONOGRAMAS CONSOLIDADOS POR LA AUDITORIA COMO PAPEL DE TRABAJO </w:t>
            </w:r>
          </w:p>
        </w:tc>
      </w:tr>
    </w:tbl>
    <w:p w:rsidR="0076001D" w:rsidRDefault="0076001D">
      <w:pPr>
        <w:sectPr w:rsidR="0076001D">
          <w:headerReference w:type="even" r:id="rId76"/>
          <w:headerReference w:type="default" r:id="rId77"/>
          <w:footerReference w:type="even" r:id="rId78"/>
          <w:footerReference w:type="default" r:id="rId79"/>
          <w:headerReference w:type="first" r:id="rId80"/>
          <w:footerReference w:type="first" r:id="rId81"/>
          <w:pgSz w:w="12240" w:h="15840"/>
          <w:pgMar w:top="1947" w:right="1226" w:bottom="575" w:left="1200" w:header="540" w:footer="392" w:gutter="0"/>
          <w:cols w:space="720"/>
        </w:sectPr>
      </w:pPr>
    </w:p>
    <w:tbl>
      <w:tblPr>
        <w:tblStyle w:val="TableGrid"/>
        <w:tblpPr w:vertAnchor="text" w:tblpX="123" w:tblpY="-13620"/>
        <w:tblOverlap w:val="never"/>
        <w:tblW w:w="9620" w:type="dxa"/>
        <w:tblInd w:w="0" w:type="dxa"/>
        <w:tblCellMar>
          <w:top w:w="6" w:type="dxa"/>
          <w:left w:w="5" w:type="dxa"/>
          <w:bottom w:w="27" w:type="dxa"/>
          <w:right w:w="89" w:type="dxa"/>
        </w:tblCellMar>
        <w:tblLook w:val="04A0" w:firstRow="1" w:lastRow="0" w:firstColumn="1" w:lastColumn="0" w:noHBand="0" w:noVBand="1"/>
      </w:tblPr>
      <w:tblGrid>
        <w:gridCol w:w="574"/>
        <w:gridCol w:w="3692"/>
        <w:gridCol w:w="576"/>
        <w:gridCol w:w="4778"/>
      </w:tblGrid>
      <w:tr w:rsidR="0076001D">
        <w:trPr>
          <w:trHeight w:val="257"/>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lastRenderedPageBreak/>
              <w:t xml:space="preserve">N°. </w:t>
            </w:r>
          </w:p>
        </w:tc>
        <w:tc>
          <w:tcPr>
            <w:tcW w:w="369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89" w:firstLine="0"/>
              <w:jc w:val="center"/>
            </w:pPr>
            <w:r>
              <w:rPr>
                <w:b/>
                <w:sz w:val="20"/>
              </w:rPr>
              <w:t xml:space="preserve">Recomendación 2019 </w:t>
            </w:r>
          </w:p>
        </w:tc>
        <w:tc>
          <w:tcPr>
            <w:tcW w:w="576"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4"/>
              </w:rPr>
              <w:t xml:space="preserve"> </w:t>
            </w:r>
          </w:p>
        </w:tc>
        <w:tc>
          <w:tcPr>
            <w:tcW w:w="4778"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87" w:firstLine="0"/>
              <w:jc w:val="center"/>
            </w:pPr>
            <w:r>
              <w:rPr>
                <w:b/>
                <w:sz w:val="20"/>
              </w:rPr>
              <w:t xml:space="preserve">Seguimiento 2020 </w:t>
            </w:r>
          </w:p>
        </w:tc>
      </w:tr>
      <w:tr w:rsidR="0076001D">
        <w:trPr>
          <w:trHeight w:val="11909"/>
        </w:trPr>
        <w:tc>
          <w:tcPr>
            <w:tcW w:w="9620" w:type="dxa"/>
            <w:gridSpan w:val="4"/>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59" w:lineRule="auto"/>
              <w:ind w:left="0" w:right="225" w:firstLine="0"/>
              <w:jc w:val="right"/>
            </w:pPr>
            <w:r>
              <w:rPr>
                <w:noProof/>
                <w:lang w:val="es-ES" w:eastAsia="es-ES"/>
              </w:rPr>
              <w:drawing>
                <wp:inline distT="0" distB="0" distL="0" distR="0">
                  <wp:extent cx="5808981" cy="7258050"/>
                  <wp:effectExtent l="0" t="0" r="0" b="0"/>
                  <wp:docPr id="4605" name="Picture 4605"/>
                  <wp:cNvGraphicFramePr/>
                  <a:graphic xmlns:a="http://schemas.openxmlformats.org/drawingml/2006/main">
                    <a:graphicData uri="http://schemas.openxmlformats.org/drawingml/2006/picture">
                      <pic:pic xmlns:pic="http://schemas.openxmlformats.org/drawingml/2006/picture">
                        <pic:nvPicPr>
                          <pic:cNvPr id="4605" name="Picture 4605"/>
                          <pic:cNvPicPr/>
                        </pic:nvPicPr>
                        <pic:blipFill>
                          <a:blip r:embed="rId82"/>
                          <a:stretch>
                            <a:fillRect/>
                          </a:stretch>
                        </pic:blipFill>
                        <pic:spPr>
                          <a:xfrm>
                            <a:off x="0" y="0"/>
                            <a:ext cx="5808981" cy="7258050"/>
                          </a:xfrm>
                          <a:prstGeom prst="rect">
                            <a:avLst/>
                          </a:prstGeom>
                        </pic:spPr>
                      </pic:pic>
                    </a:graphicData>
                  </a:graphic>
                </wp:inline>
              </w:drawing>
            </w:r>
            <w:r>
              <w:rPr>
                <w:rFonts w:ascii="Times New Roman" w:eastAsia="Times New Roman" w:hAnsi="Times New Roman" w:cs="Times New Roman"/>
                <w:sz w:val="20"/>
              </w:rPr>
              <w:t xml:space="preserve"> </w:t>
            </w:r>
          </w:p>
        </w:tc>
      </w:tr>
    </w:tbl>
    <w:p w:rsidR="0076001D" w:rsidRDefault="0034129A">
      <w:pPr>
        <w:spacing w:after="0" w:line="259" w:lineRule="auto"/>
        <w:ind w:left="0" w:firstLine="0"/>
        <w:jc w:val="left"/>
      </w:pPr>
      <w:r>
        <w:rPr>
          <w:noProof/>
          <w:lang w:val="es-ES" w:eastAsia="es-ES"/>
        </w:rPr>
        <w:lastRenderedPageBreak/>
        <w:drawing>
          <wp:anchor distT="0" distB="0" distL="114300" distR="114300" simplePos="0" relativeHeight="251662336" behindDoc="0" locked="0" layoutInCell="1" allowOverlap="0">
            <wp:simplePos x="0" y="0"/>
            <wp:positionH relativeFrom="column">
              <wp:posOffset>3982720</wp:posOffset>
            </wp:positionH>
            <wp:positionV relativeFrom="paragraph">
              <wp:posOffset>-937630</wp:posOffset>
            </wp:positionV>
            <wp:extent cx="1998345" cy="647065"/>
            <wp:effectExtent l="0" t="0" r="0" b="0"/>
            <wp:wrapSquare wrapText="bothSides"/>
            <wp:docPr id="4607" name="Picture 4607"/>
            <wp:cNvGraphicFramePr/>
            <a:graphic xmlns:a="http://schemas.openxmlformats.org/drawingml/2006/main">
              <a:graphicData uri="http://schemas.openxmlformats.org/drawingml/2006/picture">
                <pic:pic xmlns:pic="http://schemas.openxmlformats.org/drawingml/2006/picture">
                  <pic:nvPicPr>
                    <pic:cNvPr id="4607" name="Picture 4607"/>
                    <pic:cNvPicPr/>
                  </pic:nvPicPr>
                  <pic:blipFill>
                    <a:blip r:embed="rId83"/>
                    <a:stretch>
                      <a:fillRect/>
                    </a:stretch>
                  </pic:blipFill>
                  <pic:spPr>
                    <a:xfrm>
                      <a:off x="0" y="0"/>
                      <a:ext cx="1998345" cy="647065"/>
                    </a:xfrm>
                    <a:prstGeom prst="rect">
                      <a:avLst/>
                    </a:prstGeom>
                  </pic:spPr>
                </pic:pic>
              </a:graphicData>
            </a:graphic>
          </wp:anchor>
        </w:drawing>
      </w:r>
      <w:r>
        <w:rPr>
          <w:sz w:val="2"/>
        </w:rPr>
        <w:t xml:space="preserve"> </w:t>
      </w:r>
    </w:p>
    <w:p w:rsidR="0076001D" w:rsidRDefault="0034129A">
      <w:pPr>
        <w:spacing w:after="0" w:line="259" w:lineRule="auto"/>
        <w:ind w:left="0" w:firstLine="0"/>
        <w:jc w:val="left"/>
      </w:pPr>
      <w:r>
        <w:rPr>
          <w:rFonts w:ascii="Calibri" w:eastAsia="Calibri" w:hAnsi="Calibri" w:cs="Calibri"/>
          <w:sz w:val="21"/>
        </w:rPr>
        <w:t xml:space="preserve"> </w:t>
      </w:r>
    </w:p>
    <w:tbl>
      <w:tblPr>
        <w:tblStyle w:val="TableGrid"/>
        <w:tblW w:w="9620" w:type="dxa"/>
        <w:tblInd w:w="123" w:type="dxa"/>
        <w:tblCellMar>
          <w:top w:w="6" w:type="dxa"/>
          <w:left w:w="5" w:type="dxa"/>
        </w:tblCellMar>
        <w:tblLook w:val="04A0" w:firstRow="1" w:lastRow="0" w:firstColumn="1" w:lastColumn="0" w:noHBand="0" w:noVBand="1"/>
      </w:tblPr>
      <w:tblGrid>
        <w:gridCol w:w="574"/>
        <w:gridCol w:w="3692"/>
        <w:gridCol w:w="576"/>
        <w:gridCol w:w="4778"/>
      </w:tblGrid>
      <w:tr w:rsidR="0076001D">
        <w:trPr>
          <w:trHeight w:val="257"/>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t xml:space="preserve">N°. </w:t>
            </w:r>
          </w:p>
        </w:tc>
        <w:tc>
          <w:tcPr>
            <w:tcW w:w="369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 w:firstLine="0"/>
              <w:jc w:val="center"/>
            </w:pPr>
            <w:r>
              <w:rPr>
                <w:b/>
                <w:sz w:val="20"/>
              </w:rPr>
              <w:t xml:space="preserve">Recomendación 2019 </w:t>
            </w:r>
          </w:p>
        </w:tc>
        <w:tc>
          <w:tcPr>
            <w:tcW w:w="576"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778"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2" w:firstLine="0"/>
              <w:jc w:val="center"/>
            </w:pPr>
            <w:r>
              <w:rPr>
                <w:b/>
                <w:sz w:val="20"/>
              </w:rPr>
              <w:t xml:space="preserve">Seguimiento 2020 </w:t>
            </w:r>
          </w:p>
        </w:tc>
      </w:tr>
      <w:tr w:rsidR="0076001D">
        <w:trPr>
          <w:trHeight w:val="5111"/>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Calibri" w:eastAsia="Calibri" w:hAnsi="Calibri" w:cs="Calibri"/>
              </w:rPr>
              <w:t xml:space="preserve"> </w:t>
            </w:r>
          </w:p>
          <w:p w:rsidR="0076001D" w:rsidRDefault="0034129A">
            <w:pPr>
              <w:spacing w:after="0" w:line="259" w:lineRule="auto"/>
              <w:ind w:left="0" w:firstLine="0"/>
              <w:jc w:val="left"/>
            </w:pPr>
            <w:r>
              <w:rPr>
                <w:rFonts w:ascii="Calibri" w:eastAsia="Calibri" w:hAnsi="Calibri" w:cs="Calibri"/>
              </w:rPr>
              <w:t xml:space="preserve"> </w:t>
            </w:r>
          </w:p>
          <w:p w:rsidR="0076001D" w:rsidRDefault="0034129A">
            <w:pPr>
              <w:spacing w:after="0" w:line="259" w:lineRule="auto"/>
              <w:ind w:left="0" w:firstLine="0"/>
              <w:jc w:val="left"/>
            </w:pPr>
            <w:r>
              <w:rPr>
                <w:rFonts w:ascii="Calibri" w:eastAsia="Calibri" w:hAnsi="Calibri" w:cs="Calibri"/>
              </w:rPr>
              <w:t xml:space="preserve"> </w:t>
            </w:r>
          </w:p>
          <w:p w:rsidR="0076001D" w:rsidRDefault="0034129A">
            <w:pPr>
              <w:spacing w:after="0" w:line="259" w:lineRule="auto"/>
              <w:ind w:left="0" w:firstLine="0"/>
              <w:jc w:val="left"/>
            </w:pPr>
            <w:r>
              <w:rPr>
                <w:rFonts w:ascii="Calibri" w:eastAsia="Calibri" w:hAnsi="Calibri" w:cs="Calibri"/>
              </w:rPr>
              <w:t xml:space="preserve"> </w:t>
            </w:r>
          </w:p>
          <w:p w:rsidR="0076001D" w:rsidRDefault="0034129A">
            <w:pPr>
              <w:spacing w:after="0" w:line="259" w:lineRule="auto"/>
              <w:ind w:left="0" w:firstLine="0"/>
              <w:jc w:val="left"/>
            </w:pPr>
            <w:r>
              <w:rPr>
                <w:rFonts w:ascii="Calibri" w:eastAsia="Calibri" w:hAnsi="Calibri" w:cs="Calibri"/>
              </w:rPr>
              <w:t xml:space="preserve"> </w:t>
            </w:r>
          </w:p>
          <w:p w:rsidR="0076001D" w:rsidRDefault="0034129A">
            <w:pPr>
              <w:spacing w:after="0" w:line="259" w:lineRule="auto"/>
              <w:ind w:left="0" w:firstLine="0"/>
              <w:jc w:val="left"/>
            </w:pPr>
            <w:r>
              <w:rPr>
                <w:rFonts w:ascii="Calibri" w:eastAsia="Calibri" w:hAnsi="Calibri" w:cs="Calibri"/>
              </w:rPr>
              <w:t xml:space="preserve"> </w:t>
            </w:r>
          </w:p>
          <w:p w:rsidR="0076001D" w:rsidRDefault="0034129A">
            <w:pPr>
              <w:spacing w:after="0" w:line="259" w:lineRule="auto"/>
              <w:ind w:left="0" w:firstLine="0"/>
              <w:jc w:val="left"/>
            </w:pPr>
            <w:r>
              <w:rPr>
                <w:rFonts w:ascii="Calibri" w:eastAsia="Calibri" w:hAnsi="Calibri" w:cs="Calibri"/>
              </w:rPr>
              <w:t xml:space="preserve"> </w:t>
            </w:r>
          </w:p>
          <w:p w:rsidR="0076001D" w:rsidRDefault="0034129A">
            <w:pPr>
              <w:spacing w:after="0" w:line="259" w:lineRule="auto"/>
              <w:ind w:left="0" w:firstLine="0"/>
              <w:jc w:val="left"/>
            </w:pPr>
            <w:r>
              <w:rPr>
                <w:rFonts w:ascii="Calibri" w:eastAsia="Calibri" w:hAnsi="Calibri" w:cs="Calibri"/>
              </w:rPr>
              <w:t xml:space="preserve"> </w:t>
            </w:r>
          </w:p>
          <w:p w:rsidR="0076001D" w:rsidRDefault="0034129A">
            <w:pPr>
              <w:spacing w:after="0" w:line="259" w:lineRule="auto"/>
              <w:ind w:left="0" w:firstLine="0"/>
              <w:jc w:val="left"/>
            </w:pPr>
            <w:r>
              <w:rPr>
                <w:rFonts w:ascii="Calibri" w:eastAsia="Calibri" w:hAnsi="Calibri" w:cs="Calibri"/>
                <w:sz w:val="23"/>
              </w:rPr>
              <w:t xml:space="preserve"> </w:t>
            </w:r>
          </w:p>
          <w:p w:rsidR="0076001D" w:rsidRDefault="0034129A">
            <w:pPr>
              <w:spacing w:after="0" w:line="259" w:lineRule="auto"/>
              <w:ind w:left="0" w:right="-9" w:firstLine="0"/>
              <w:jc w:val="right"/>
            </w:pPr>
            <w:r>
              <w:rPr>
                <w:sz w:val="20"/>
              </w:rPr>
              <w:t>4</w:t>
            </w:r>
          </w:p>
        </w:tc>
        <w:tc>
          <w:tcPr>
            <w:tcW w:w="369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04" w:firstLine="0"/>
            </w:pPr>
            <w:r>
              <w:rPr>
                <w:sz w:val="20"/>
              </w:rPr>
              <w:t xml:space="preserve">Adelantar la estructuración de los proyectos de uso y apropiación de tecnología una vez hayan sido documentadas y formalizadas todas las políticas de seguridad de la información del MSPI de manera integrada con el control 7.2.2 Concientización, educación y capacitación sobre la seguridad de la información de la norma ISO 27002:2013 </w:t>
            </w:r>
          </w:p>
        </w:tc>
        <w:tc>
          <w:tcPr>
            <w:tcW w:w="57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119" w:firstLine="0"/>
              <w:jc w:val="left"/>
            </w:pPr>
            <w:r>
              <w:rPr>
                <w:noProof/>
                <w:lang w:val="es-ES" w:eastAsia="es-ES"/>
              </w:rPr>
              <w:drawing>
                <wp:inline distT="0" distB="0" distL="0" distR="0">
                  <wp:extent cx="202565" cy="223291"/>
                  <wp:effectExtent l="0" t="0" r="0" b="0"/>
                  <wp:docPr id="4841" name="Picture 4841"/>
                  <wp:cNvGraphicFramePr/>
                  <a:graphic xmlns:a="http://schemas.openxmlformats.org/drawingml/2006/main">
                    <a:graphicData uri="http://schemas.openxmlformats.org/drawingml/2006/picture">
                      <pic:pic xmlns:pic="http://schemas.openxmlformats.org/drawingml/2006/picture">
                        <pic:nvPicPr>
                          <pic:cNvPr id="4841" name="Picture 4841"/>
                          <pic:cNvPicPr/>
                        </pic:nvPicPr>
                        <pic:blipFill>
                          <a:blip r:embed="rId84"/>
                          <a:stretch>
                            <a:fillRect/>
                          </a:stretch>
                        </pic:blipFill>
                        <pic:spPr>
                          <a:xfrm>
                            <a:off x="0" y="0"/>
                            <a:ext cx="202565" cy="223291"/>
                          </a:xfrm>
                          <a:prstGeom prst="rect">
                            <a:avLst/>
                          </a:prstGeom>
                        </pic:spPr>
                      </pic:pic>
                    </a:graphicData>
                  </a:graphic>
                </wp:inline>
              </w:drawing>
            </w:r>
          </w:p>
        </w:tc>
        <w:tc>
          <w:tcPr>
            <w:tcW w:w="477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8" w:lineRule="auto"/>
              <w:ind w:left="108" w:right="102" w:firstLine="0"/>
            </w:pPr>
            <w:r>
              <w:rPr>
                <w:sz w:val="20"/>
              </w:rPr>
              <w:t>En el PETI 2020, se encuentra declarado, mas no desarrollado como proyecto, sin embargo, en los cronogramas entregados se incluyen las actividades de “</w:t>
            </w:r>
            <w:r>
              <w:rPr>
                <w:i/>
                <w:sz w:val="20"/>
              </w:rPr>
              <w:t>Divulgar y gestionar los boletines informativos de seguridad, Integrar con CSIRT de Gobierno</w:t>
            </w:r>
            <w:r>
              <w:rPr>
                <w:sz w:val="20"/>
              </w:rPr>
              <w:t xml:space="preserve">” y se han adelantado capacitaciones en diversos temas tal como </w:t>
            </w:r>
            <w:proofErr w:type="spellStart"/>
            <w:r>
              <w:rPr>
                <w:sz w:val="20"/>
              </w:rPr>
              <w:t>Goobi</w:t>
            </w:r>
            <w:proofErr w:type="spellEnd"/>
            <w:r>
              <w:rPr>
                <w:sz w:val="20"/>
              </w:rPr>
              <w:t xml:space="preserve"> y </w:t>
            </w:r>
            <w:proofErr w:type="spellStart"/>
            <w:r>
              <w:rPr>
                <w:sz w:val="20"/>
              </w:rPr>
              <w:t>Meets</w:t>
            </w:r>
            <w:proofErr w:type="spellEnd"/>
            <w:r>
              <w:rPr>
                <w:sz w:val="20"/>
              </w:rPr>
              <w:t xml:space="preserve">. </w:t>
            </w:r>
          </w:p>
          <w:p w:rsidR="0076001D" w:rsidRDefault="0034129A">
            <w:pPr>
              <w:spacing w:after="0" w:line="259" w:lineRule="auto"/>
              <w:ind w:left="0" w:firstLine="0"/>
              <w:jc w:val="left"/>
            </w:pPr>
            <w:r>
              <w:rPr>
                <w:rFonts w:ascii="Calibri" w:eastAsia="Calibri" w:hAnsi="Calibri" w:cs="Calibri"/>
                <w:sz w:val="18"/>
              </w:rPr>
              <w:t xml:space="preserve"> </w:t>
            </w:r>
          </w:p>
          <w:p w:rsidR="0076001D" w:rsidRDefault="0034129A">
            <w:pPr>
              <w:spacing w:after="0" w:line="241" w:lineRule="auto"/>
              <w:ind w:left="108" w:right="102" w:firstLine="0"/>
            </w:pPr>
            <w:r>
              <w:rPr>
                <w:sz w:val="20"/>
              </w:rPr>
              <w:t xml:space="preserve">En cuanto al </w:t>
            </w:r>
            <w:r>
              <w:rPr>
                <w:i/>
                <w:sz w:val="20"/>
              </w:rPr>
              <w:t xml:space="preserve">PL-GTH-13-01 Plan </w:t>
            </w:r>
            <w:proofErr w:type="spellStart"/>
            <w:r>
              <w:rPr>
                <w:i/>
                <w:sz w:val="20"/>
              </w:rPr>
              <w:t>Inst</w:t>
            </w:r>
            <w:proofErr w:type="spellEnd"/>
            <w:r>
              <w:rPr>
                <w:i/>
                <w:sz w:val="20"/>
              </w:rPr>
              <w:t xml:space="preserve"> </w:t>
            </w:r>
            <w:proofErr w:type="spellStart"/>
            <w:r>
              <w:rPr>
                <w:i/>
                <w:sz w:val="20"/>
              </w:rPr>
              <w:t>Capacit</w:t>
            </w:r>
            <w:proofErr w:type="spellEnd"/>
            <w:r>
              <w:rPr>
                <w:i/>
                <w:sz w:val="20"/>
              </w:rPr>
              <w:t xml:space="preserve"> V7.pdf</w:t>
            </w:r>
            <w:r>
              <w:rPr>
                <w:sz w:val="20"/>
              </w:rPr>
              <w:t xml:space="preserve">, se observa que aún no está articulado con el dominio de uso y apropiación, por las siguientes razones: </w:t>
            </w:r>
          </w:p>
          <w:p w:rsidR="0076001D" w:rsidRDefault="0034129A">
            <w:pPr>
              <w:spacing w:after="0" w:line="259" w:lineRule="auto"/>
              <w:ind w:left="0" w:firstLine="0"/>
              <w:jc w:val="left"/>
            </w:pPr>
            <w:r>
              <w:rPr>
                <w:rFonts w:ascii="Calibri" w:eastAsia="Calibri" w:hAnsi="Calibri" w:cs="Calibri"/>
                <w:sz w:val="19"/>
              </w:rPr>
              <w:t xml:space="preserve"> </w:t>
            </w:r>
          </w:p>
          <w:p w:rsidR="0076001D" w:rsidRDefault="0034129A">
            <w:pPr>
              <w:numPr>
                <w:ilvl w:val="0"/>
                <w:numId w:val="38"/>
              </w:numPr>
              <w:spacing w:after="21" w:line="236" w:lineRule="auto"/>
              <w:ind w:left="469" w:right="103" w:hanging="363"/>
            </w:pPr>
            <w:r>
              <w:rPr>
                <w:sz w:val="20"/>
              </w:rPr>
              <w:t xml:space="preserve">Los resultados de la mesa de servicio no son insumo para la identificación de necesidades. </w:t>
            </w:r>
          </w:p>
          <w:p w:rsidR="0076001D" w:rsidRDefault="0034129A">
            <w:pPr>
              <w:numPr>
                <w:ilvl w:val="0"/>
                <w:numId w:val="38"/>
              </w:numPr>
              <w:spacing w:after="17" w:line="240" w:lineRule="auto"/>
              <w:ind w:left="469" w:right="103" w:hanging="363"/>
            </w:pPr>
            <w:r>
              <w:rPr>
                <w:sz w:val="20"/>
              </w:rPr>
              <w:t xml:space="preserve">En la tabla de necesidades de aprendizaje, no se incluyen los temas de Gobierno Digital y MSPI. </w:t>
            </w:r>
          </w:p>
          <w:p w:rsidR="0076001D" w:rsidRDefault="0034129A">
            <w:pPr>
              <w:numPr>
                <w:ilvl w:val="0"/>
                <w:numId w:val="38"/>
              </w:numPr>
              <w:spacing w:after="0" w:line="259" w:lineRule="auto"/>
              <w:ind w:left="469" w:right="103" w:hanging="363"/>
            </w:pPr>
            <w:r>
              <w:rPr>
                <w:sz w:val="20"/>
              </w:rPr>
              <w:t xml:space="preserve">No se han articulado el eje de gestión del conocimiento, con planes de trasferencia de conocimiento interno y con terceros TIC, ni con la mesa de servicio. </w:t>
            </w:r>
          </w:p>
        </w:tc>
      </w:tr>
    </w:tbl>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tabs>
          <w:tab w:val="center" w:pos="831"/>
          <w:tab w:val="center" w:pos="4739"/>
        </w:tabs>
        <w:spacing w:after="33" w:line="259" w:lineRule="auto"/>
        <w:ind w:left="0" w:firstLine="0"/>
        <w:jc w:val="left"/>
      </w:pPr>
      <w:r>
        <w:rPr>
          <w:rFonts w:ascii="Calibri" w:eastAsia="Calibri" w:hAnsi="Calibri" w:cs="Calibri"/>
        </w:rPr>
        <w:tab/>
      </w:r>
      <w:r>
        <w:rPr>
          <w:b/>
        </w:rPr>
        <w:t xml:space="preserve">5.1.1.2 </w:t>
      </w:r>
      <w:r>
        <w:rPr>
          <w:b/>
        </w:rPr>
        <w:tab/>
        <w:t xml:space="preserve">Nuevas Recomendaciones 2020 </w:t>
      </w:r>
    </w:p>
    <w:p w:rsidR="0076001D" w:rsidRDefault="0034129A">
      <w:pPr>
        <w:spacing w:after="0" w:line="259" w:lineRule="auto"/>
        <w:ind w:left="0" w:firstLine="0"/>
        <w:jc w:val="left"/>
      </w:pPr>
      <w:r>
        <w:rPr>
          <w:b/>
          <w:sz w:val="27"/>
        </w:rPr>
        <w:t xml:space="preserve"> </w:t>
      </w:r>
    </w:p>
    <w:tbl>
      <w:tblPr>
        <w:tblStyle w:val="TableGrid"/>
        <w:tblW w:w="9605" w:type="dxa"/>
        <w:tblInd w:w="123" w:type="dxa"/>
        <w:tblCellMar>
          <w:top w:w="12" w:type="dxa"/>
          <w:left w:w="5" w:type="dxa"/>
          <w:right w:w="50" w:type="dxa"/>
        </w:tblCellMar>
        <w:tblLook w:val="04A0" w:firstRow="1" w:lastRow="0" w:firstColumn="1" w:lastColumn="0" w:noHBand="0" w:noVBand="1"/>
      </w:tblPr>
      <w:tblGrid>
        <w:gridCol w:w="574"/>
        <w:gridCol w:w="9031"/>
      </w:tblGrid>
      <w:tr w:rsidR="0076001D">
        <w:trPr>
          <w:trHeight w:val="258"/>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t xml:space="preserve">N°. </w:t>
            </w:r>
          </w:p>
        </w:tc>
        <w:tc>
          <w:tcPr>
            <w:tcW w:w="903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5" w:firstLine="0"/>
              <w:jc w:val="center"/>
            </w:pPr>
            <w:r>
              <w:rPr>
                <w:b/>
                <w:sz w:val="20"/>
              </w:rPr>
              <w:t xml:space="preserve">Recomendación 2020 </w:t>
            </w:r>
          </w:p>
        </w:tc>
      </w:tr>
      <w:tr w:rsidR="0076001D">
        <w:trPr>
          <w:trHeight w:val="1621"/>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141" w:line="259" w:lineRule="auto"/>
              <w:ind w:left="0" w:firstLine="0"/>
              <w:jc w:val="left"/>
            </w:pPr>
            <w:r>
              <w:rPr>
                <w:b/>
              </w:rPr>
              <w:t xml:space="preserve"> </w:t>
            </w:r>
          </w:p>
          <w:p w:rsidR="0076001D" w:rsidRDefault="0034129A">
            <w:pPr>
              <w:spacing w:after="0" w:line="259" w:lineRule="auto"/>
              <w:ind w:left="106" w:firstLine="0"/>
              <w:jc w:val="left"/>
            </w:pPr>
            <w:r>
              <w:rPr>
                <w:sz w:val="20"/>
              </w:rPr>
              <w:t xml:space="preserve">1. </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57" w:firstLine="0"/>
            </w:pPr>
            <w:r>
              <w:rPr>
                <w:sz w:val="20"/>
              </w:rPr>
              <w:t xml:space="preserve">Actualizar el Plan </w:t>
            </w:r>
            <w:proofErr w:type="spellStart"/>
            <w:r>
              <w:rPr>
                <w:sz w:val="20"/>
              </w:rPr>
              <w:t>Estrategico</w:t>
            </w:r>
            <w:proofErr w:type="spellEnd"/>
            <w:r>
              <w:rPr>
                <w:sz w:val="20"/>
              </w:rPr>
              <w:t xml:space="preserve"> de Tecnología de Información conforme a los lineamientos de Gobierno Digital (manual V7) y demás guías emitidas por MINTIC, de manera articulada con los demás planes de la entidad. </w:t>
            </w:r>
          </w:p>
          <w:p w:rsidR="0076001D" w:rsidRDefault="0034129A">
            <w:pPr>
              <w:spacing w:after="0" w:line="259" w:lineRule="auto"/>
              <w:ind w:left="0" w:firstLine="0"/>
              <w:jc w:val="left"/>
            </w:pPr>
            <w:r>
              <w:rPr>
                <w:b/>
                <w:sz w:val="19"/>
              </w:rPr>
              <w:t xml:space="preserve"> </w:t>
            </w:r>
          </w:p>
          <w:p w:rsidR="0076001D" w:rsidRDefault="0034129A">
            <w:pPr>
              <w:spacing w:after="0" w:line="259" w:lineRule="auto"/>
              <w:ind w:left="108" w:right="57" w:firstLine="0"/>
            </w:pPr>
            <w:r>
              <w:rPr>
                <w:sz w:val="20"/>
              </w:rPr>
              <w:t xml:space="preserve">De suscribirse un nuevo contrato con el objeto del contrato 21 de 2020, se recomienda establecer el listado de entregables de acuerdo a lo requerido por Gobierno Digital y MSPI junto con los criterios de aceptación en cada caso. </w:t>
            </w:r>
          </w:p>
        </w:tc>
      </w:tr>
    </w:tbl>
    <w:p w:rsidR="0076001D" w:rsidRDefault="0034129A">
      <w:pPr>
        <w:spacing w:after="0" w:line="259" w:lineRule="auto"/>
        <w:ind w:left="0" w:firstLine="0"/>
        <w:jc w:val="left"/>
      </w:pPr>
      <w:r>
        <w:rPr>
          <w:b/>
          <w:sz w:val="20"/>
        </w:rPr>
        <w:t xml:space="preserve"> </w:t>
      </w:r>
    </w:p>
    <w:p w:rsidR="0076001D" w:rsidRDefault="0034129A">
      <w:pPr>
        <w:spacing w:after="136" w:line="259" w:lineRule="auto"/>
        <w:ind w:left="0" w:firstLine="0"/>
        <w:jc w:val="left"/>
      </w:pPr>
      <w:r>
        <w:rPr>
          <w:b/>
          <w:sz w:val="16"/>
        </w:rPr>
        <w:t xml:space="preserve"> </w:t>
      </w:r>
    </w:p>
    <w:p w:rsidR="0076001D" w:rsidRDefault="0034129A">
      <w:pPr>
        <w:ind w:left="545" w:firstLine="0"/>
      </w:pPr>
      <w:r>
        <w:rPr>
          <w:b/>
        </w:rPr>
        <w:t xml:space="preserve">2. </w:t>
      </w:r>
      <w:r>
        <w:t xml:space="preserve">Se recomienda por parte de esta Oficina, organizar las actividades inherentes al proceso de TI de acuerdo con los siguientes roles, de forma tal que permita mayor articulación con  los lineamientos emitidos por MINTIC.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501" w:right="-214" w:firstLine="0"/>
        <w:jc w:val="left"/>
      </w:pPr>
      <w:r>
        <w:rPr>
          <w:noProof/>
          <w:lang w:val="es-ES" w:eastAsia="es-ES"/>
        </w:rPr>
        <w:lastRenderedPageBreak/>
        <w:drawing>
          <wp:inline distT="0" distB="0" distL="0" distR="0">
            <wp:extent cx="5937885" cy="5105908"/>
            <wp:effectExtent l="0" t="0" r="0" b="0"/>
            <wp:docPr id="4890" name="Picture 4890"/>
            <wp:cNvGraphicFramePr/>
            <a:graphic xmlns:a="http://schemas.openxmlformats.org/drawingml/2006/main">
              <a:graphicData uri="http://schemas.openxmlformats.org/drawingml/2006/picture">
                <pic:pic xmlns:pic="http://schemas.openxmlformats.org/drawingml/2006/picture">
                  <pic:nvPicPr>
                    <pic:cNvPr id="4890" name="Picture 4890"/>
                    <pic:cNvPicPr/>
                  </pic:nvPicPr>
                  <pic:blipFill>
                    <a:blip r:embed="rId85"/>
                    <a:stretch>
                      <a:fillRect/>
                    </a:stretch>
                  </pic:blipFill>
                  <pic:spPr>
                    <a:xfrm>
                      <a:off x="0" y="0"/>
                      <a:ext cx="5937885" cy="5105908"/>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124" w:line="259" w:lineRule="auto"/>
        <w:ind w:left="0" w:firstLine="0"/>
        <w:jc w:val="left"/>
      </w:pPr>
      <w:r>
        <w:rPr>
          <w:sz w:val="17"/>
        </w:rPr>
        <w:t xml:space="preserve"> </w:t>
      </w:r>
    </w:p>
    <w:p w:rsidR="0076001D" w:rsidRDefault="0034129A">
      <w:pPr>
        <w:pStyle w:val="Ttulo3"/>
        <w:ind w:left="538"/>
      </w:pPr>
      <w:r>
        <w:t xml:space="preserve">5.1.2 Estructura Organizacional y Gobierno de TI </w:t>
      </w:r>
    </w:p>
    <w:p w:rsidR="0076001D" w:rsidRDefault="0034129A">
      <w:pPr>
        <w:spacing w:after="12" w:line="259" w:lineRule="auto"/>
        <w:ind w:left="0" w:firstLine="0"/>
        <w:jc w:val="left"/>
      </w:pPr>
      <w:r>
        <w:rPr>
          <w:b/>
          <w:sz w:val="24"/>
        </w:rPr>
        <w:t xml:space="preserve"> </w:t>
      </w:r>
    </w:p>
    <w:p w:rsidR="0076001D" w:rsidRDefault="0034129A">
      <w:pPr>
        <w:spacing w:after="0" w:line="259" w:lineRule="auto"/>
        <w:ind w:left="0" w:firstLine="0"/>
        <w:jc w:val="left"/>
      </w:pPr>
      <w:r>
        <w:rPr>
          <w:b/>
          <w:sz w:val="27"/>
        </w:rPr>
        <w:t xml:space="preserve"> </w:t>
      </w:r>
    </w:p>
    <w:p w:rsidR="0076001D" w:rsidRDefault="0034129A">
      <w:pPr>
        <w:ind w:left="545" w:firstLine="0"/>
      </w:pPr>
      <w:r>
        <w:t xml:space="preserve">La estructura organizacional corresponde al siguiente esquema, donde se evidencia la segregación de Funciones de los recursos de TI en modalidad de funcionarios, contratistas y proveedores, con una alta participación de terceros en la prestación de los servicios TIC, lo cual es perfectamente válido, siempre y cuando se lleven controles estrictos desde la etapa precontractual, pasando por la ejecución y posibles garantías o soportes, que ofrezcan el mayor beneficio para la entidad por la inversión realizada. </w:t>
      </w:r>
    </w:p>
    <w:p w:rsidR="0076001D" w:rsidRDefault="0034129A">
      <w:pPr>
        <w:spacing w:after="0" w:line="259" w:lineRule="auto"/>
        <w:ind w:left="0" w:firstLine="0"/>
        <w:jc w:val="left"/>
      </w:pPr>
      <w:r>
        <w:rPr>
          <w:sz w:val="18"/>
        </w:rPr>
        <w:t xml:space="preserve"> </w:t>
      </w:r>
    </w:p>
    <w:p w:rsidR="0076001D" w:rsidRDefault="0034129A">
      <w:pPr>
        <w:spacing w:after="9" w:line="259" w:lineRule="auto"/>
        <w:ind w:left="515" w:firstLine="0"/>
        <w:jc w:val="left"/>
      </w:pPr>
      <w:r>
        <w:rPr>
          <w:noProof/>
          <w:lang w:val="es-ES" w:eastAsia="es-ES"/>
        </w:rPr>
        <w:lastRenderedPageBreak/>
        <w:drawing>
          <wp:inline distT="0" distB="0" distL="0" distR="0">
            <wp:extent cx="5719191" cy="2887345"/>
            <wp:effectExtent l="0" t="0" r="0" b="0"/>
            <wp:docPr id="4980" name="Picture 4980"/>
            <wp:cNvGraphicFramePr/>
            <a:graphic xmlns:a="http://schemas.openxmlformats.org/drawingml/2006/main">
              <a:graphicData uri="http://schemas.openxmlformats.org/drawingml/2006/picture">
                <pic:pic xmlns:pic="http://schemas.openxmlformats.org/drawingml/2006/picture">
                  <pic:nvPicPr>
                    <pic:cNvPr id="4980" name="Picture 4980"/>
                    <pic:cNvPicPr/>
                  </pic:nvPicPr>
                  <pic:blipFill>
                    <a:blip r:embed="rId86"/>
                    <a:stretch>
                      <a:fillRect/>
                    </a:stretch>
                  </pic:blipFill>
                  <pic:spPr>
                    <a:xfrm>
                      <a:off x="0" y="0"/>
                      <a:ext cx="5719191" cy="2887345"/>
                    </a:xfrm>
                    <a:prstGeom prst="rect">
                      <a:avLst/>
                    </a:prstGeom>
                  </pic:spPr>
                </pic:pic>
              </a:graphicData>
            </a:graphic>
          </wp:inline>
        </w:drawing>
      </w:r>
    </w:p>
    <w:p w:rsidR="0076001D" w:rsidRDefault="0034129A">
      <w:pPr>
        <w:spacing w:after="0" w:line="259" w:lineRule="auto"/>
        <w:ind w:left="0" w:firstLine="0"/>
        <w:jc w:val="left"/>
      </w:pPr>
      <w:r>
        <w:rPr>
          <w:sz w:val="24"/>
        </w:rPr>
        <w:t xml:space="preserve"> </w:t>
      </w:r>
    </w:p>
    <w:p w:rsidR="0076001D" w:rsidRDefault="0034129A">
      <w:pPr>
        <w:spacing w:after="0" w:line="259" w:lineRule="auto"/>
        <w:ind w:left="0" w:right="8857" w:firstLine="0"/>
        <w:jc w:val="left"/>
      </w:pPr>
      <w:r>
        <w:t xml:space="preserve"> </w:t>
      </w:r>
    </w:p>
    <w:p w:rsidR="0076001D" w:rsidRDefault="0034129A">
      <w:pPr>
        <w:numPr>
          <w:ilvl w:val="0"/>
          <w:numId w:val="9"/>
        </w:numPr>
        <w:ind w:left="914"/>
      </w:pPr>
      <w:r>
        <w:t xml:space="preserve">Con respecto al proveedor de </w:t>
      </w:r>
      <w:proofErr w:type="spellStart"/>
      <w:r>
        <w:t>Goobi</w:t>
      </w:r>
      <w:proofErr w:type="spellEnd"/>
      <w:r>
        <w:t xml:space="preserve"> IT GOP SAS, se observa que permanece nivel de insatisfacción con la calidad del servicio, toda vez que no atiende de manera diligente los requerimientos del IDEP y los problemas funcionales persisten sin que se evidencia interés por dar cumplimiento a las obligaciones del contrato. Como medida correctiva, el día 30 de abril de 2020 se realizó el estudio del mercado y análisis del sector para la contratación cuyo objeto es “</w:t>
      </w:r>
      <w:r>
        <w:rPr>
          <w:b/>
          <w:i/>
        </w:rPr>
        <w:t>Adquisición de un sistema ERP para el manejo administrativo y financiero del IDEP</w:t>
      </w:r>
      <w:r>
        <w:rPr>
          <w:i/>
        </w:rPr>
        <w:t>”</w:t>
      </w:r>
      <w:r>
        <w:t xml:space="preserve">, de igual manera se adelantó la ficha técnica buscando una solución en la nube, lo cual resulta en la alternativa más conveniente para el IDEP, lo que se sustenta en el documento </w:t>
      </w:r>
      <w:r>
        <w:rPr>
          <w:i/>
        </w:rPr>
        <w:t>“Caso de Negocio Análisis de la migración de los sistemas de información del IDEP a la nube</w:t>
      </w:r>
      <w:r>
        <w:t xml:space="preserve">”. Si bien no se ha diseñado un formato RFP para adquisiciones con requerimientos funcionales, no funcionales y de soporte y garantía, se realizó y el correcto levantamiento de requerimientos funcionales con las áreas, al igual que la solicitud de cotizaciones y demostraciones del software. </w:t>
      </w:r>
    </w:p>
    <w:p w:rsidR="0076001D" w:rsidRDefault="0034129A">
      <w:pPr>
        <w:spacing w:after="15" w:line="259" w:lineRule="auto"/>
        <w:ind w:left="0" w:firstLine="0"/>
        <w:jc w:val="left"/>
      </w:pPr>
      <w:r>
        <w:rPr>
          <w:sz w:val="20"/>
        </w:rPr>
        <w:t xml:space="preserve"> </w:t>
      </w:r>
    </w:p>
    <w:p w:rsidR="0076001D" w:rsidRDefault="0034129A">
      <w:pPr>
        <w:numPr>
          <w:ilvl w:val="0"/>
          <w:numId w:val="9"/>
        </w:numPr>
        <w:ind w:left="914"/>
      </w:pPr>
      <w:r>
        <w:t xml:space="preserve">El IDEP cumple con el debido registro de contratos vigentes con terceros, lo cual fue verificado en las plataformas de SECOP I y II. </w:t>
      </w:r>
    </w:p>
    <w:p w:rsidR="0076001D" w:rsidRDefault="0034129A">
      <w:pPr>
        <w:spacing w:after="0" w:line="259" w:lineRule="auto"/>
        <w:ind w:left="0" w:firstLine="0"/>
        <w:jc w:val="left"/>
      </w:pPr>
      <w:r>
        <w:rPr>
          <w:sz w:val="20"/>
        </w:rPr>
        <w:t xml:space="preserve"> </w:t>
      </w:r>
    </w:p>
    <w:p w:rsidR="0076001D" w:rsidRDefault="0034129A">
      <w:pPr>
        <w:numPr>
          <w:ilvl w:val="0"/>
          <w:numId w:val="9"/>
        </w:numPr>
        <w:ind w:left="914"/>
      </w:pPr>
      <w:r>
        <w:t xml:space="preserve">Con respecto a los contratos con proveedores, se observa el debido cumplimiento de los requisitos de control: acuerdo de confidencialidad, transferencia de conocimiento, ANS si aplica y requisitos de seguridad en cumplimiento del dominio 15 Gestión de Terceros del MSPI. La siguiente tabla muestra la trazabilidad. </w:t>
      </w:r>
    </w:p>
    <w:p w:rsidR="0076001D" w:rsidRDefault="0076001D">
      <w:pPr>
        <w:sectPr w:rsidR="0076001D">
          <w:headerReference w:type="even" r:id="rId87"/>
          <w:headerReference w:type="default" r:id="rId88"/>
          <w:footerReference w:type="even" r:id="rId89"/>
          <w:footerReference w:type="default" r:id="rId90"/>
          <w:headerReference w:type="first" r:id="rId91"/>
          <w:footerReference w:type="first" r:id="rId92"/>
          <w:pgSz w:w="12240" w:h="15840"/>
          <w:pgMar w:top="1947" w:right="1402" w:bottom="0" w:left="1200" w:header="540" w:footer="392" w:gutter="0"/>
          <w:cols w:space="720"/>
          <w:titlePg/>
        </w:sectPr>
      </w:pPr>
    </w:p>
    <w:p w:rsidR="0076001D" w:rsidRDefault="0076001D">
      <w:pPr>
        <w:spacing w:after="0" w:line="259" w:lineRule="auto"/>
        <w:ind w:left="-1440" w:right="14400" w:firstLine="0"/>
        <w:jc w:val="left"/>
      </w:pPr>
    </w:p>
    <w:tbl>
      <w:tblPr>
        <w:tblStyle w:val="TableGrid"/>
        <w:tblW w:w="13903" w:type="dxa"/>
        <w:tblInd w:w="-155" w:type="dxa"/>
        <w:tblCellMar>
          <w:top w:w="4" w:type="dxa"/>
          <w:left w:w="4" w:type="dxa"/>
          <w:right w:w="21" w:type="dxa"/>
        </w:tblCellMar>
        <w:tblLook w:val="04A0" w:firstRow="1" w:lastRow="0" w:firstColumn="1" w:lastColumn="0" w:noHBand="0" w:noVBand="1"/>
      </w:tblPr>
      <w:tblGrid>
        <w:gridCol w:w="565"/>
        <w:gridCol w:w="995"/>
        <w:gridCol w:w="1136"/>
        <w:gridCol w:w="2127"/>
        <w:gridCol w:w="2557"/>
        <w:gridCol w:w="1699"/>
        <w:gridCol w:w="2554"/>
        <w:gridCol w:w="2270"/>
      </w:tblGrid>
      <w:tr w:rsidR="0076001D">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7" w:firstLine="0"/>
              <w:jc w:val="center"/>
            </w:pPr>
            <w:r>
              <w:rPr>
                <w:b/>
                <w:sz w:val="16"/>
              </w:rPr>
              <w:t xml:space="preserve">N° </w:t>
            </w:r>
          </w:p>
          <w:p w:rsidR="0076001D" w:rsidRDefault="0034129A">
            <w:pPr>
              <w:spacing w:after="0" w:line="259" w:lineRule="auto"/>
              <w:ind w:left="0" w:firstLine="0"/>
              <w:jc w:val="center"/>
            </w:pPr>
            <w:proofErr w:type="spellStart"/>
            <w:r>
              <w:rPr>
                <w:b/>
                <w:sz w:val="16"/>
              </w:rPr>
              <w:t>Contr</w:t>
            </w:r>
            <w:proofErr w:type="spellEnd"/>
            <w:r>
              <w:rPr>
                <w:b/>
                <w:sz w:val="16"/>
              </w:rPr>
              <w:t xml:space="preserve"> ato </w:t>
            </w:r>
          </w:p>
        </w:tc>
        <w:tc>
          <w:tcPr>
            <w:tcW w:w="995"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0" w:firstLine="0"/>
              <w:jc w:val="center"/>
            </w:pPr>
            <w:r>
              <w:rPr>
                <w:b/>
                <w:sz w:val="16"/>
              </w:rPr>
              <w:t xml:space="preserve">Nombre Tercero </w:t>
            </w:r>
          </w:p>
        </w:tc>
        <w:tc>
          <w:tcPr>
            <w:tcW w:w="113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2" w:firstLine="0"/>
              <w:jc w:val="left"/>
            </w:pPr>
            <w:r>
              <w:rPr>
                <w:rFonts w:ascii="Times New Roman" w:eastAsia="Times New Roman" w:hAnsi="Times New Roman" w:cs="Times New Roman"/>
                <w:sz w:val="15"/>
              </w:rPr>
              <w:t xml:space="preserve"> </w:t>
            </w:r>
          </w:p>
          <w:p w:rsidR="0076001D" w:rsidRDefault="0034129A">
            <w:pPr>
              <w:spacing w:after="0" w:line="259" w:lineRule="auto"/>
              <w:ind w:left="23" w:firstLine="0"/>
              <w:jc w:val="center"/>
            </w:pPr>
            <w:r>
              <w:rPr>
                <w:b/>
                <w:sz w:val="16"/>
              </w:rPr>
              <w:t xml:space="preserve">OBJETO </w:t>
            </w:r>
          </w:p>
        </w:tc>
        <w:tc>
          <w:tcPr>
            <w:tcW w:w="212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14" w:firstLine="0"/>
              <w:jc w:val="left"/>
            </w:pPr>
            <w:r>
              <w:rPr>
                <w:b/>
                <w:sz w:val="16"/>
              </w:rPr>
              <w:t xml:space="preserve">Observaciones Auditoría </w:t>
            </w:r>
          </w:p>
        </w:tc>
        <w:tc>
          <w:tcPr>
            <w:tcW w:w="255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6" w:firstLine="0"/>
              <w:jc w:val="center"/>
            </w:pPr>
            <w:r>
              <w:rPr>
                <w:b/>
                <w:sz w:val="16"/>
              </w:rPr>
              <w:t xml:space="preserve">Acuerdo Confidencialidad </w:t>
            </w:r>
          </w:p>
        </w:tc>
        <w:tc>
          <w:tcPr>
            <w:tcW w:w="1699"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9" w:firstLine="0"/>
              <w:jc w:val="center"/>
            </w:pPr>
            <w:r>
              <w:rPr>
                <w:b/>
                <w:sz w:val="16"/>
              </w:rPr>
              <w:t xml:space="preserve">ANS </w:t>
            </w:r>
          </w:p>
        </w:tc>
        <w:tc>
          <w:tcPr>
            <w:tcW w:w="2554"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38" w:firstLine="0"/>
              <w:jc w:val="left"/>
            </w:pPr>
            <w:r>
              <w:rPr>
                <w:b/>
                <w:sz w:val="16"/>
              </w:rPr>
              <w:t xml:space="preserve">Trasferencia de conocimiento </w:t>
            </w:r>
          </w:p>
        </w:tc>
        <w:tc>
          <w:tcPr>
            <w:tcW w:w="2270"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0" w:firstLine="0"/>
              <w:jc w:val="center"/>
            </w:pPr>
            <w:r>
              <w:rPr>
                <w:b/>
                <w:sz w:val="16"/>
              </w:rPr>
              <w:t xml:space="preserve">Requisitos de seguridad </w:t>
            </w:r>
          </w:p>
        </w:tc>
      </w:tr>
      <w:tr w:rsidR="0076001D">
        <w:trPr>
          <w:trHeight w:val="2954"/>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18"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center"/>
            </w:pPr>
            <w:r>
              <w:rPr>
                <w:sz w:val="16"/>
              </w:rPr>
              <w:t xml:space="preserve">110- 2017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8"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rPr>
              <w:t xml:space="preserve"> </w:t>
            </w:r>
          </w:p>
          <w:p w:rsidR="0076001D" w:rsidRDefault="0034129A">
            <w:pPr>
              <w:spacing w:after="0" w:line="259" w:lineRule="auto"/>
              <w:ind w:left="71" w:firstLine="0"/>
              <w:jc w:val="left"/>
            </w:pPr>
            <w:r>
              <w:rPr>
                <w:sz w:val="16"/>
              </w:rPr>
              <w:t xml:space="preserve">SUMIMAS </w:t>
            </w:r>
          </w:p>
          <w:p w:rsidR="0076001D" w:rsidRDefault="0034129A">
            <w:pPr>
              <w:spacing w:after="0" w:line="259" w:lineRule="auto"/>
              <w:ind w:left="71" w:firstLine="0"/>
              <w:jc w:val="left"/>
            </w:pPr>
            <w:r>
              <w:rPr>
                <w:sz w:val="16"/>
              </w:rPr>
              <w:t xml:space="preserve">SAS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27" w:firstLine="0"/>
              <w:jc w:val="left"/>
            </w:pPr>
            <w:r>
              <w:rPr>
                <w:sz w:val="16"/>
              </w:rPr>
              <w:t xml:space="preserve">Prestación del servicio para el suministro, instalación, configuración, </w:t>
            </w:r>
            <w:proofErr w:type="spellStart"/>
            <w:r>
              <w:rPr>
                <w:sz w:val="16"/>
              </w:rPr>
              <w:t>licenciamient</w:t>
            </w:r>
            <w:proofErr w:type="spellEnd"/>
            <w:r>
              <w:rPr>
                <w:sz w:val="16"/>
              </w:rPr>
              <w:t xml:space="preserve"> o, soporte técnico y puesta en marcha de una solución tecnológica </w:t>
            </w:r>
            <w:proofErr w:type="spellStart"/>
            <w:r>
              <w:rPr>
                <w:sz w:val="16"/>
              </w:rPr>
              <w:t>hiperconverg</w:t>
            </w:r>
            <w:proofErr w:type="spellEnd"/>
            <w:r>
              <w:rPr>
                <w:sz w:val="16"/>
              </w:rPr>
              <w:t xml:space="preserve"> ente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68" w:right="23" w:firstLine="0"/>
              <w:jc w:val="left"/>
            </w:pPr>
            <w:r>
              <w:rPr>
                <w:sz w:val="16"/>
              </w:rPr>
              <w:t xml:space="preserve">Dentro de la información suministrada para el análisis, solo se recibió el contrato original del 2017, el cual tenía una duración de un año a partir de la aprobación de la garantía. El plan de adquisiciones del 2020 contempla el Servicio de renovación de la garantía y soporte de la solución de </w:t>
            </w:r>
            <w:proofErr w:type="spellStart"/>
            <w:r>
              <w:rPr>
                <w:sz w:val="16"/>
              </w:rPr>
              <w:t>hiperconvergencia</w:t>
            </w:r>
            <w:proofErr w:type="spellEnd"/>
            <w:r>
              <w:rPr>
                <w:sz w:val="16"/>
              </w:rPr>
              <w:t xml:space="preserve">.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right="7" w:firstLine="0"/>
              <w:jc w:val="left"/>
            </w:pPr>
            <w:r>
              <w:rPr>
                <w:sz w:val="16"/>
              </w:rPr>
              <w:t xml:space="preserve">La </w:t>
            </w:r>
            <w:proofErr w:type="spellStart"/>
            <w:r>
              <w:rPr>
                <w:sz w:val="16"/>
              </w:rPr>
              <w:t>Clausula</w:t>
            </w:r>
            <w:proofErr w:type="spellEnd"/>
            <w:r>
              <w:rPr>
                <w:sz w:val="16"/>
              </w:rPr>
              <w:t xml:space="preserve"> 7 del contrato, Obligaciones generales del contratista, numeral 2 hace referencia a que el contratista debe mantener la reserva de la información. Así mismo, la </w:t>
            </w:r>
            <w:proofErr w:type="spellStart"/>
            <w:r>
              <w:rPr>
                <w:sz w:val="16"/>
              </w:rPr>
              <w:t>Clausula</w:t>
            </w:r>
            <w:proofErr w:type="spellEnd"/>
            <w:r>
              <w:rPr>
                <w:sz w:val="16"/>
              </w:rPr>
              <w:t xml:space="preserve"> 7 numeral 9 menciona de manera general la confidencialidad de la información. Sin embargo, no se observó acuerdos de confidencialidad donde se detalle el tema y se especifique que la confidencialidad debe ser extienda después de la terminación del contrato.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8"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rPr>
              <w:t xml:space="preserve"> </w:t>
            </w:r>
          </w:p>
          <w:p w:rsidR="0076001D" w:rsidRDefault="0034129A">
            <w:pPr>
              <w:spacing w:after="0" w:line="259" w:lineRule="auto"/>
              <w:ind w:left="64" w:firstLine="0"/>
              <w:jc w:val="left"/>
            </w:pPr>
            <w:r>
              <w:rPr>
                <w:sz w:val="16"/>
              </w:rPr>
              <w:t xml:space="preserve">No se encontró referencia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39" w:lineRule="auto"/>
              <w:ind w:left="66" w:firstLine="0"/>
              <w:jc w:val="left"/>
            </w:pPr>
            <w:r>
              <w:rPr>
                <w:sz w:val="16"/>
              </w:rPr>
              <w:t xml:space="preserve">Este tema se aborda en varios apartes de la </w:t>
            </w:r>
            <w:proofErr w:type="spellStart"/>
            <w:r>
              <w:rPr>
                <w:sz w:val="16"/>
              </w:rPr>
              <w:t>Clausula</w:t>
            </w:r>
            <w:proofErr w:type="spellEnd"/>
            <w:r>
              <w:rPr>
                <w:sz w:val="16"/>
              </w:rPr>
              <w:t xml:space="preserve"> 7ma del contrato, Obligaciones específicas: Numeral 2: se hará transferencia de conocimiento dentro de los 10 días después del afinamiento, Numeral 13: </w:t>
            </w:r>
          </w:p>
          <w:p w:rsidR="0076001D" w:rsidRDefault="0034129A">
            <w:pPr>
              <w:spacing w:after="0" w:line="240" w:lineRule="auto"/>
              <w:ind w:left="66" w:firstLine="0"/>
            </w:pPr>
            <w:r>
              <w:rPr>
                <w:sz w:val="16"/>
              </w:rPr>
              <w:t xml:space="preserve">transferir conocimiento de la configuración, administración y </w:t>
            </w:r>
          </w:p>
          <w:p w:rsidR="0076001D" w:rsidRDefault="0034129A">
            <w:pPr>
              <w:spacing w:after="0" w:line="259" w:lineRule="auto"/>
              <w:ind w:left="66" w:firstLine="0"/>
              <w:jc w:val="left"/>
            </w:pPr>
            <w:r>
              <w:rPr>
                <w:sz w:val="16"/>
              </w:rPr>
              <w:t xml:space="preserve">manejo de la solución, y el Numeral 14 Compromiso de entrega de manuales básicos de instalación y configuración de la solución </w:t>
            </w:r>
            <w:proofErr w:type="spellStart"/>
            <w:r>
              <w:rPr>
                <w:sz w:val="16"/>
              </w:rPr>
              <w:t>hiperconvengente</w:t>
            </w:r>
            <w:proofErr w:type="spellEnd"/>
            <w:r>
              <w:rPr>
                <w:sz w:val="16"/>
              </w:rPr>
              <w:t xml:space="preserve"> y el mapa de red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77"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6" w:right="9" w:firstLine="0"/>
              <w:jc w:val="left"/>
            </w:pPr>
            <w:r>
              <w:rPr>
                <w:sz w:val="16"/>
              </w:rPr>
              <w:t xml:space="preserve">La Clausula 7ma del contrato, Ítem B Obligaciones generales del contratista, numeral 12 indica sobre el cumplimiento de las políticas de seguridad de activos de información y el uso adecuado de internet. </w:t>
            </w:r>
          </w:p>
        </w:tc>
      </w:tr>
      <w:tr w:rsidR="0076001D">
        <w:trPr>
          <w:trHeight w:val="2957"/>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2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center"/>
            </w:pPr>
            <w:r>
              <w:rPr>
                <w:sz w:val="16"/>
              </w:rPr>
              <w:t xml:space="preserve">134- 2018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71" w:firstLine="0"/>
            </w:pPr>
            <w:r>
              <w:rPr>
                <w:sz w:val="16"/>
              </w:rPr>
              <w:t xml:space="preserve">IT SELCON </w:t>
            </w:r>
          </w:p>
          <w:p w:rsidR="0076001D" w:rsidRDefault="0034129A">
            <w:pPr>
              <w:spacing w:after="0" w:line="259" w:lineRule="auto"/>
              <w:ind w:left="71" w:firstLine="0"/>
            </w:pPr>
            <w:r>
              <w:rPr>
                <w:sz w:val="16"/>
              </w:rPr>
              <w:t xml:space="preserve">SEGURIDA </w:t>
            </w:r>
          </w:p>
          <w:p w:rsidR="0076001D" w:rsidRDefault="0034129A">
            <w:pPr>
              <w:spacing w:after="0" w:line="259" w:lineRule="auto"/>
              <w:ind w:left="71" w:firstLine="0"/>
              <w:jc w:val="left"/>
            </w:pPr>
            <w:r>
              <w:rPr>
                <w:sz w:val="16"/>
              </w:rPr>
              <w:t xml:space="preserve">D </w:t>
            </w:r>
          </w:p>
          <w:p w:rsidR="0076001D" w:rsidRDefault="0034129A">
            <w:pPr>
              <w:spacing w:after="0" w:line="259" w:lineRule="auto"/>
              <w:ind w:left="71" w:firstLine="0"/>
            </w:pPr>
            <w:r>
              <w:rPr>
                <w:sz w:val="16"/>
              </w:rPr>
              <w:t xml:space="preserve">COSULTO </w:t>
            </w:r>
          </w:p>
          <w:p w:rsidR="0076001D" w:rsidRDefault="0034129A">
            <w:pPr>
              <w:spacing w:after="0" w:line="259" w:lineRule="auto"/>
              <w:ind w:left="71" w:firstLine="0"/>
              <w:jc w:val="left"/>
            </w:pPr>
            <w:r>
              <w:rPr>
                <w:sz w:val="16"/>
              </w:rPr>
              <w:t xml:space="preserve">RIA </w:t>
            </w:r>
          </w:p>
          <w:p w:rsidR="0076001D" w:rsidRDefault="0034129A">
            <w:pPr>
              <w:spacing w:after="0" w:line="259" w:lineRule="auto"/>
              <w:ind w:left="71" w:firstLine="0"/>
            </w:pPr>
            <w:r>
              <w:rPr>
                <w:sz w:val="16"/>
              </w:rPr>
              <w:t xml:space="preserve">SOLUCION </w:t>
            </w:r>
          </w:p>
          <w:p w:rsidR="0076001D" w:rsidRDefault="0034129A">
            <w:pPr>
              <w:spacing w:after="0" w:line="259" w:lineRule="auto"/>
              <w:ind w:left="71" w:firstLine="0"/>
              <w:jc w:val="left"/>
            </w:pPr>
            <w:r>
              <w:rPr>
                <w:sz w:val="16"/>
              </w:rPr>
              <w:t xml:space="preserve">ES S.A.S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39" w:lineRule="auto"/>
              <w:ind w:left="70" w:firstLine="0"/>
              <w:jc w:val="left"/>
            </w:pPr>
            <w:r>
              <w:rPr>
                <w:sz w:val="16"/>
              </w:rPr>
              <w:t xml:space="preserve">Prestación de servicios para el suministro, instalación, configuración, soporte técnico y puesta en marcha de </w:t>
            </w:r>
          </w:p>
          <w:p w:rsidR="0076001D" w:rsidRDefault="0034129A">
            <w:pPr>
              <w:spacing w:after="0" w:line="259" w:lineRule="auto"/>
              <w:ind w:left="70" w:right="36" w:firstLine="0"/>
              <w:jc w:val="left"/>
            </w:pPr>
            <w:proofErr w:type="gramStart"/>
            <w:r>
              <w:rPr>
                <w:sz w:val="16"/>
              </w:rPr>
              <w:t>las</w:t>
            </w:r>
            <w:proofErr w:type="gramEnd"/>
            <w:r>
              <w:rPr>
                <w:sz w:val="16"/>
              </w:rPr>
              <w:t xml:space="preserve"> licencias de antivirus y renovación de las licencias de firewall del IDEP.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8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8" w:right="4" w:firstLine="0"/>
              <w:jc w:val="left"/>
            </w:pPr>
            <w:r>
              <w:rPr>
                <w:sz w:val="16"/>
              </w:rPr>
              <w:t xml:space="preserve">Contrato a máximo el 31 de diciembre de 2019. Garantía y soporte 5x8 directamente con el fabricante durante mínimo tres (3) años, contados a partir de la fecha de inicio del soporte.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8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8" w:right="7" w:firstLine="0"/>
              <w:jc w:val="left"/>
            </w:pPr>
            <w:r>
              <w:rPr>
                <w:sz w:val="16"/>
              </w:rPr>
              <w:t xml:space="preserve">La Clausula 7ma del contrato, del contratista Numeral 2 hace referencia a que el contratista debe mantener la reserva de la información. También el numeral 9 hace alusión al manejo de confidencialidad de la información.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6" w:line="259" w:lineRule="auto"/>
              <w:ind w:left="1" w:firstLine="0"/>
              <w:jc w:val="left"/>
            </w:pPr>
            <w:r>
              <w:rPr>
                <w:rFonts w:ascii="Times New Roman" w:eastAsia="Times New Roman" w:hAnsi="Times New Roman" w:cs="Times New Roman"/>
                <w:sz w:val="14"/>
              </w:rPr>
              <w:t xml:space="preserve"> </w:t>
            </w:r>
          </w:p>
          <w:p w:rsidR="0076001D" w:rsidRDefault="0034129A">
            <w:pPr>
              <w:spacing w:after="0" w:line="259" w:lineRule="auto"/>
              <w:ind w:left="64" w:right="10" w:firstLine="0"/>
              <w:jc w:val="left"/>
            </w:pPr>
            <w:r>
              <w:rPr>
                <w:sz w:val="16"/>
              </w:rPr>
              <w:t xml:space="preserve">Los estudios previos, numeral 3.3 especificaciones generales señala que se dará soporte 5x8 durante 3 años para el caso de las licencias de firewall, y durante el tiempo contratado para el caso de la licencia de antivirus.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61"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6"/>
              </w:rPr>
              <w:t xml:space="preserve"> </w:t>
            </w:r>
          </w:p>
          <w:p w:rsidR="0076001D" w:rsidRDefault="0034129A">
            <w:pPr>
              <w:spacing w:after="2" w:line="237" w:lineRule="auto"/>
              <w:ind w:left="66" w:firstLine="0"/>
              <w:jc w:val="left"/>
            </w:pPr>
            <w:r>
              <w:rPr>
                <w:sz w:val="16"/>
              </w:rPr>
              <w:t xml:space="preserve">Según la cláusula 2da. del contrato, denominada alcance del </w:t>
            </w:r>
          </w:p>
          <w:p w:rsidR="0076001D" w:rsidRDefault="0034129A">
            <w:pPr>
              <w:spacing w:after="0" w:line="259" w:lineRule="auto"/>
              <w:ind w:left="66" w:right="25" w:firstLine="0"/>
              <w:jc w:val="left"/>
            </w:pPr>
            <w:proofErr w:type="gramStart"/>
            <w:r>
              <w:rPr>
                <w:sz w:val="16"/>
              </w:rPr>
              <w:t>objeto</w:t>
            </w:r>
            <w:proofErr w:type="gramEnd"/>
            <w:r>
              <w:rPr>
                <w:sz w:val="16"/>
              </w:rPr>
              <w:t xml:space="preserve">, y la cláusula 7ma obligaciones específicas del contratista, Numerales12, 14, 15 y 17.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1" w:line="239" w:lineRule="auto"/>
              <w:ind w:left="66" w:firstLine="0"/>
              <w:jc w:val="left"/>
            </w:pPr>
            <w:r>
              <w:rPr>
                <w:sz w:val="16"/>
              </w:rPr>
              <w:t xml:space="preserve">La Clausula 7ma del contrato, numeral 14 indica sobre el cumplimiento de las políticas de seguridad de activos de información, el uso adecuado de internet y del correo electrónico. </w:t>
            </w:r>
          </w:p>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0" w:line="259" w:lineRule="auto"/>
              <w:ind w:left="66" w:firstLine="0"/>
              <w:jc w:val="left"/>
            </w:pPr>
            <w:r>
              <w:rPr>
                <w:sz w:val="16"/>
              </w:rPr>
              <w:t xml:space="preserve">Los estudios previos, numeral 3.3: La herramienta debe permitir el acceso al instituto, mediante políticas, para equipos que no pertenecen al instituto. </w:t>
            </w:r>
          </w:p>
        </w:tc>
      </w:tr>
      <w:tr w:rsidR="0076001D">
        <w:trPr>
          <w:trHeight w:val="1851"/>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lastRenderedPageBreak/>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75"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center"/>
            </w:pPr>
            <w:r>
              <w:rPr>
                <w:sz w:val="16"/>
              </w:rPr>
              <w:t xml:space="preserve">60- 2019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46" w:lineRule="auto"/>
              <w:ind w:left="1" w:right="922"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9"/>
              </w:rPr>
              <w:t xml:space="preserve"> </w:t>
            </w:r>
          </w:p>
          <w:p w:rsidR="0076001D" w:rsidRDefault="0034129A">
            <w:pPr>
              <w:spacing w:after="0" w:line="259" w:lineRule="auto"/>
              <w:ind w:left="71" w:firstLine="0"/>
              <w:jc w:val="left"/>
            </w:pPr>
            <w:r>
              <w:rPr>
                <w:sz w:val="16"/>
              </w:rPr>
              <w:t xml:space="preserve">ITO- </w:t>
            </w:r>
          </w:p>
          <w:p w:rsidR="0076001D" w:rsidRDefault="0034129A">
            <w:pPr>
              <w:spacing w:after="0" w:line="259" w:lineRule="auto"/>
              <w:ind w:left="71" w:firstLine="0"/>
            </w:pPr>
            <w:r>
              <w:rPr>
                <w:sz w:val="16"/>
              </w:rPr>
              <w:t xml:space="preserve">SOFTWAR </w:t>
            </w:r>
          </w:p>
          <w:p w:rsidR="0076001D" w:rsidRDefault="0034129A">
            <w:pPr>
              <w:spacing w:after="0" w:line="259" w:lineRule="auto"/>
              <w:ind w:left="71" w:firstLine="0"/>
              <w:jc w:val="left"/>
            </w:pPr>
            <w:r>
              <w:rPr>
                <w:sz w:val="16"/>
              </w:rPr>
              <w:t xml:space="preserve">E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70" w:firstLine="0"/>
              <w:jc w:val="left"/>
            </w:pPr>
            <w:r>
              <w:rPr>
                <w:sz w:val="16"/>
              </w:rPr>
              <w:t xml:space="preserve">Adición </w:t>
            </w:r>
            <w:r>
              <w:rPr>
                <w:sz w:val="16"/>
              </w:rPr>
              <w:tab/>
              <w:t xml:space="preserve">del contrato 060- 2019 con Orden de </w:t>
            </w:r>
          </w:p>
          <w:p w:rsidR="0076001D" w:rsidRDefault="0034129A">
            <w:pPr>
              <w:spacing w:after="0" w:line="259" w:lineRule="auto"/>
              <w:ind w:left="70" w:firstLine="0"/>
              <w:jc w:val="left"/>
            </w:pPr>
            <w:r>
              <w:rPr>
                <w:sz w:val="16"/>
              </w:rPr>
              <w:t xml:space="preserve">Compra </w:t>
            </w:r>
          </w:p>
          <w:p w:rsidR="0076001D" w:rsidRDefault="0034129A">
            <w:pPr>
              <w:spacing w:after="0" w:line="259" w:lineRule="auto"/>
              <w:ind w:left="70" w:firstLine="0"/>
              <w:jc w:val="left"/>
            </w:pPr>
            <w:r>
              <w:rPr>
                <w:sz w:val="16"/>
              </w:rPr>
              <w:t xml:space="preserve">37.163 del acuerdo marco de precios Google II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01"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8" w:firstLine="0"/>
              <w:jc w:val="left"/>
            </w:pPr>
            <w:r>
              <w:rPr>
                <w:sz w:val="16"/>
              </w:rPr>
              <w:t xml:space="preserve">Solo está la orden de compra asociada al contrato. Está incluido en el plan de inversión 2020.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58"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6"/>
              </w:rPr>
              <w:t xml:space="preserve"> </w:t>
            </w:r>
          </w:p>
          <w:p w:rsidR="0076001D" w:rsidRDefault="0034129A">
            <w:pPr>
              <w:spacing w:after="0" w:line="259" w:lineRule="auto"/>
              <w:ind w:left="68" w:firstLine="0"/>
              <w:jc w:val="left"/>
            </w:pPr>
            <w:r>
              <w:rPr>
                <w:sz w:val="16"/>
              </w:rPr>
              <w:t xml:space="preserve">No aplica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4"/>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4"/>
              </w:rPr>
              <w:t xml:space="preserve">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4"/>
              </w:rPr>
              <w:t xml:space="preserve"> </w:t>
            </w:r>
          </w:p>
        </w:tc>
      </w:tr>
    </w:tbl>
    <w:p w:rsidR="0076001D" w:rsidRDefault="0076001D">
      <w:pPr>
        <w:spacing w:after="0" w:line="259" w:lineRule="auto"/>
        <w:ind w:left="-1440" w:right="14400" w:firstLine="0"/>
        <w:jc w:val="left"/>
      </w:pPr>
    </w:p>
    <w:tbl>
      <w:tblPr>
        <w:tblStyle w:val="TableGrid"/>
        <w:tblW w:w="13903" w:type="dxa"/>
        <w:tblInd w:w="-155" w:type="dxa"/>
        <w:tblCellMar>
          <w:top w:w="4" w:type="dxa"/>
          <w:left w:w="4" w:type="dxa"/>
          <w:right w:w="21" w:type="dxa"/>
        </w:tblCellMar>
        <w:tblLook w:val="04A0" w:firstRow="1" w:lastRow="0" w:firstColumn="1" w:lastColumn="0" w:noHBand="0" w:noVBand="1"/>
      </w:tblPr>
      <w:tblGrid>
        <w:gridCol w:w="565"/>
        <w:gridCol w:w="995"/>
        <w:gridCol w:w="1136"/>
        <w:gridCol w:w="2127"/>
        <w:gridCol w:w="2557"/>
        <w:gridCol w:w="1699"/>
        <w:gridCol w:w="2554"/>
        <w:gridCol w:w="2270"/>
      </w:tblGrid>
      <w:tr w:rsidR="0076001D">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7" w:firstLine="0"/>
              <w:jc w:val="center"/>
            </w:pPr>
            <w:r>
              <w:rPr>
                <w:b/>
                <w:sz w:val="16"/>
              </w:rPr>
              <w:t xml:space="preserve">N° </w:t>
            </w:r>
          </w:p>
          <w:p w:rsidR="0076001D" w:rsidRDefault="0034129A">
            <w:pPr>
              <w:spacing w:after="0" w:line="259" w:lineRule="auto"/>
              <w:ind w:left="0" w:firstLine="0"/>
              <w:jc w:val="center"/>
            </w:pPr>
            <w:proofErr w:type="spellStart"/>
            <w:r>
              <w:rPr>
                <w:b/>
                <w:sz w:val="16"/>
              </w:rPr>
              <w:t>Contr</w:t>
            </w:r>
            <w:proofErr w:type="spellEnd"/>
            <w:r>
              <w:rPr>
                <w:b/>
                <w:sz w:val="16"/>
              </w:rPr>
              <w:t xml:space="preserve"> ato </w:t>
            </w:r>
          </w:p>
        </w:tc>
        <w:tc>
          <w:tcPr>
            <w:tcW w:w="995"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0" w:firstLine="0"/>
              <w:jc w:val="center"/>
            </w:pPr>
            <w:r>
              <w:rPr>
                <w:b/>
                <w:sz w:val="16"/>
              </w:rPr>
              <w:t xml:space="preserve">Nombre Tercero </w:t>
            </w:r>
          </w:p>
        </w:tc>
        <w:tc>
          <w:tcPr>
            <w:tcW w:w="113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2" w:firstLine="0"/>
              <w:jc w:val="left"/>
            </w:pPr>
            <w:r>
              <w:rPr>
                <w:rFonts w:ascii="Times New Roman" w:eastAsia="Times New Roman" w:hAnsi="Times New Roman" w:cs="Times New Roman"/>
                <w:sz w:val="15"/>
              </w:rPr>
              <w:t xml:space="preserve"> </w:t>
            </w:r>
          </w:p>
          <w:p w:rsidR="0076001D" w:rsidRDefault="0034129A">
            <w:pPr>
              <w:spacing w:after="0" w:line="259" w:lineRule="auto"/>
              <w:ind w:left="23" w:firstLine="0"/>
              <w:jc w:val="center"/>
            </w:pPr>
            <w:r>
              <w:rPr>
                <w:b/>
                <w:sz w:val="16"/>
              </w:rPr>
              <w:t xml:space="preserve">OBJETO </w:t>
            </w:r>
          </w:p>
        </w:tc>
        <w:tc>
          <w:tcPr>
            <w:tcW w:w="212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14" w:firstLine="0"/>
              <w:jc w:val="left"/>
            </w:pPr>
            <w:r>
              <w:rPr>
                <w:b/>
                <w:sz w:val="16"/>
              </w:rPr>
              <w:t xml:space="preserve">Observaciones Auditoría </w:t>
            </w:r>
          </w:p>
        </w:tc>
        <w:tc>
          <w:tcPr>
            <w:tcW w:w="255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6" w:firstLine="0"/>
              <w:jc w:val="center"/>
            </w:pPr>
            <w:r>
              <w:rPr>
                <w:b/>
                <w:sz w:val="16"/>
              </w:rPr>
              <w:t xml:space="preserve">Acuerdo Confidencialidad </w:t>
            </w:r>
          </w:p>
        </w:tc>
        <w:tc>
          <w:tcPr>
            <w:tcW w:w="1699"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9" w:firstLine="0"/>
              <w:jc w:val="center"/>
            </w:pPr>
            <w:r>
              <w:rPr>
                <w:b/>
                <w:sz w:val="16"/>
              </w:rPr>
              <w:t xml:space="preserve">ANS </w:t>
            </w:r>
          </w:p>
        </w:tc>
        <w:tc>
          <w:tcPr>
            <w:tcW w:w="2554"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38" w:firstLine="0"/>
              <w:jc w:val="left"/>
            </w:pPr>
            <w:r>
              <w:rPr>
                <w:b/>
                <w:sz w:val="16"/>
              </w:rPr>
              <w:t xml:space="preserve">Trasferencia de conocimiento </w:t>
            </w:r>
          </w:p>
        </w:tc>
        <w:tc>
          <w:tcPr>
            <w:tcW w:w="2270"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0" w:firstLine="0"/>
              <w:jc w:val="center"/>
            </w:pPr>
            <w:r>
              <w:rPr>
                <w:b/>
                <w:sz w:val="16"/>
              </w:rPr>
              <w:t xml:space="preserve">Requisitos de seguridad </w:t>
            </w:r>
          </w:p>
        </w:tc>
      </w:tr>
      <w:tr w:rsidR="0076001D">
        <w:trPr>
          <w:trHeight w:val="2774"/>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77" w:line="259" w:lineRule="auto"/>
              <w:ind w:left="0" w:firstLine="0"/>
              <w:jc w:val="left"/>
            </w:pPr>
            <w:r>
              <w:rPr>
                <w:rFonts w:ascii="Times New Roman" w:eastAsia="Times New Roman" w:hAnsi="Times New Roman" w:cs="Times New Roman"/>
                <w:sz w:val="18"/>
              </w:rPr>
              <w:t xml:space="preserve"> </w:t>
            </w:r>
          </w:p>
          <w:p w:rsidR="0076001D" w:rsidRDefault="0034129A">
            <w:pPr>
              <w:spacing w:after="1" w:line="239" w:lineRule="auto"/>
              <w:ind w:left="70" w:firstLine="0"/>
              <w:jc w:val="left"/>
            </w:pPr>
            <w:proofErr w:type="spellStart"/>
            <w:r>
              <w:rPr>
                <w:sz w:val="16"/>
              </w:rPr>
              <w:t>Orde</w:t>
            </w:r>
            <w:proofErr w:type="spellEnd"/>
            <w:r>
              <w:rPr>
                <w:sz w:val="16"/>
              </w:rPr>
              <w:t xml:space="preserve"> n de </w:t>
            </w:r>
            <w:proofErr w:type="spellStart"/>
            <w:r>
              <w:rPr>
                <w:sz w:val="16"/>
              </w:rPr>
              <w:t>Servi</w:t>
            </w:r>
            <w:proofErr w:type="spellEnd"/>
            <w:r>
              <w:rPr>
                <w:sz w:val="16"/>
              </w:rPr>
              <w:t xml:space="preserve"> </w:t>
            </w:r>
            <w:proofErr w:type="spellStart"/>
            <w:r>
              <w:rPr>
                <w:sz w:val="16"/>
              </w:rPr>
              <w:t>cios</w:t>
            </w:r>
            <w:proofErr w:type="spellEnd"/>
            <w:r>
              <w:rPr>
                <w:sz w:val="16"/>
              </w:rPr>
              <w:t xml:space="preserve"> </w:t>
            </w:r>
          </w:p>
          <w:p w:rsidR="0076001D" w:rsidRDefault="0034129A">
            <w:pPr>
              <w:spacing w:after="0" w:line="259" w:lineRule="auto"/>
              <w:ind w:left="0" w:firstLine="0"/>
              <w:jc w:val="left"/>
            </w:pPr>
            <w:r>
              <w:rPr>
                <w:rFonts w:ascii="Times New Roman" w:eastAsia="Times New Roman" w:hAnsi="Times New Roman" w:cs="Times New Roman"/>
                <w:sz w:val="16"/>
              </w:rPr>
              <w:t xml:space="preserve"> </w:t>
            </w:r>
          </w:p>
          <w:p w:rsidR="0076001D" w:rsidRDefault="0034129A">
            <w:pPr>
              <w:spacing w:after="0" w:line="259" w:lineRule="auto"/>
              <w:ind w:left="70" w:firstLine="0"/>
              <w:jc w:val="left"/>
            </w:pPr>
            <w:r>
              <w:rPr>
                <w:sz w:val="16"/>
              </w:rPr>
              <w:t xml:space="preserve">105- 2019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0" w:line="259" w:lineRule="auto"/>
              <w:ind w:left="71" w:firstLine="0"/>
            </w:pPr>
            <w:r>
              <w:rPr>
                <w:sz w:val="16"/>
              </w:rPr>
              <w:t xml:space="preserve">COMPUSE </w:t>
            </w:r>
          </w:p>
          <w:p w:rsidR="0076001D" w:rsidRDefault="0034129A">
            <w:pPr>
              <w:spacing w:after="0" w:line="259" w:lineRule="auto"/>
              <w:ind w:left="71" w:firstLine="0"/>
              <w:jc w:val="left"/>
            </w:pPr>
            <w:r>
              <w:rPr>
                <w:sz w:val="16"/>
              </w:rPr>
              <w:t xml:space="preserve">RTEC </w:t>
            </w:r>
          </w:p>
          <w:p w:rsidR="0076001D" w:rsidRDefault="0034129A">
            <w:pPr>
              <w:spacing w:after="0" w:line="259" w:lineRule="auto"/>
              <w:ind w:left="71" w:firstLine="0"/>
            </w:pPr>
            <w:r>
              <w:rPr>
                <w:sz w:val="16"/>
              </w:rPr>
              <w:t xml:space="preserve">INGENIERI </w:t>
            </w:r>
          </w:p>
          <w:p w:rsidR="0076001D" w:rsidRDefault="0034129A">
            <w:pPr>
              <w:spacing w:after="0" w:line="259" w:lineRule="auto"/>
              <w:ind w:left="71" w:firstLine="0"/>
              <w:jc w:val="left"/>
            </w:pPr>
            <w:r>
              <w:rPr>
                <w:sz w:val="16"/>
              </w:rPr>
              <w:t xml:space="preserve">A SAS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125" w:line="259" w:lineRule="auto"/>
              <w:ind w:left="2" w:firstLine="0"/>
              <w:jc w:val="left"/>
            </w:pPr>
            <w:r>
              <w:rPr>
                <w:rFonts w:ascii="Times New Roman" w:eastAsia="Times New Roman" w:hAnsi="Times New Roman" w:cs="Times New Roman"/>
                <w:sz w:val="18"/>
              </w:rPr>
              <w:t xml:space="preserve"> </w:t>
            </w:r>
          </w:p>
          <w:p w:rsidR="0076001D" w:rsidRDefault="0034129A">
            <w:pPr>
              <w:spacing w:after="2" w:line="238" w:lineRule="auto"/>
              <w:ind w:left="70" w:firstLine="0"/>
              <w:jc w:val="left"/>
            </w:pPr>
            <w:r>
              <w:rPr>
                <w:sz w:val="16"/>
              </w:rPr>
              <w:t xml:space="preserve">Prestación de los servicios para realizar </w:t>
            </w:r>
          </w:p>
          <w:p w:rsidR="0076001D" w:rsidRDefault="0034129A">
            <w:pPr>
              <w:spacing w:after="0" w:line="259" w:lineRule="auto"/>
              <w:ind w:left="70" w:firstLine="0"/>
              <w:jc w:val="left"/>
            </w:pPr>
            <w:r>
              <w:rPr>
                <w:sz w:val="16"/>
              </w:rPr>
              <w:t xml:space="preserve">el </w:t>
            </w:r>
          </w:p>
          <w:p w:rsidR="0076001D" w:rsidRDefault="0034129A">
            <w:pPr>
              <w:spacing w:after="0" w:line="240" w:lineRule="auto"/>
              <w:ind w:left="70" w:firstLine="0"/>
              <w:jc w:val="left"/>
            </w:pPr>
            <w:proofErr w:type="spellStart"/>
            <w:r>
              <w:rPr>
                <w:sz w:val="16"/>
              </w:rPr>
              <w:t>mantenimient</w:t>
            </w:r>
            <w:proofErr w:type="spellEnd"/>
            <w:r>
              <w:rPr>
                <w:sz w:val="16"/>
              </w:rPr>
              <w:t xml:space="preserve"> o preventivo y </w:t>
            </w:r>
          </w:p>
          <w:p w:rsidR="0076001D" w:rsidRDefault="0034129A">
            <w:pPr>
              <w:spacing w:after="2" w:line="237" w:lineRule="auto"/>
              <w:ind w:left="70" w:firstLine="0"/>
              <w:jc w:val="left"/>
            </w:pPr>
            <w:r>
              <w:rPr>
                <w:sz w:val="16"/>
              </w:rPr>
              <w:t xml:space="preserve">correctivo de la </w:t>
            </w:r>
          </w:p>
          <w:p w:rsidR="0076001D" w:rsidRDefault="0034129A">
            <w:pPr>
              <w:spacing w:after="0" w:line="259" w:lineRule="auto"/>
              <w:ind w:left="70" w:firstLine="0"/>
              <w:jc w:val="left"/>
            </w:pPr>
            <w:proofErr w:type="spellStart"/>
            <w:proofErr w:type="gramStart"/>
            <w:r>
              <w:rPr>
                <w:sz w:val="16"/>
              </w:rPr>
              <w:t>infraestructur</w:t>
            </w:r>
            <w:proofErr w:type="spellEnd"/>
            <w:proofErr w:type="gramEnd"/>
            <w:r>
              <w:rPr>
                <w:sz w:val="16"/>
              </w:rPr>
              <w:t xml:space="preserve"> a tecnológica del IDEP.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125"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39" w:lineRule="auto"/>
              <w:ind w:left="68" w:right="39" w:firstLine="46"/>
              <w:jc w:val="left"/>
            </w:pPr>
            <w:r>
              <w:rPr>
                <w:sz w:val="16"/>
              </w:rPr>
              <w:t xml:space="preserve">El contrato cuya vigencia databa de abril de 2020, fue objeto de suspensión el 6/04/2020 en atención a la situación de fuerza mayor generada por la crisis sanitaria del coronavirus </w:t>
            </w:r>
          </w:p>
          <w:p w:rsidR="0076001D" w:rsidRDefault="0034129A">
            <w:pPr>
              <w:spacing w:after="0" w:line="259" w:lineRule="auto"/>
              <w:ind w:left="68" w:firstLine="0"/>
              <w:jc w:val="left"/>
            </w:pPr>
            <w:r>
              <w:rPr>
                <w:sz w:val="16"/>
              </w:rPr>
              <w:t xml:space="preserve">COVID-19 y las medidas adoptadas por el gobierno nacional mediante el decreto 457 de 2020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1" w:line="239" w:lineRule="auto"/>
              <w:ind w:left="68" w:firstLine="0"/>
              <w:jc w:val="left"/>
            </w:pPr>
            <w:r>
              <w:rPr>
                <w:sz w:val="16"/>
              </w:rPr>
              <w:t xml:space="preserve">De acuerdo con los estudios previos, numeral 4.3 obligaciones generales se debe mantener la </w:t>
            </w:r>
          </w:p>
          <w:p w:rsidR="0076001D" w:rsidRDefault="0034129A">
            <w:pPr>
              <w:spacing w:after="2" w:line="237" w:lineRule="auto"/>
              <w:ind w:left="68" w:right="7" w:firstLine="0"/>
              <w:jc w:val="left"/>
            </w:pPr>
            <w:proofErr w:type="gramStart"/>
            <w:r>
              <w:rPr>
                <w:sz w:val="16"/>
              </w:rPr>
              <w:t>confidencialidad</w:t>
            </w:r>
            <w:proofErr w:type="gramEnd"/>
            <w:r>
              <w:rPr>
                <w:sz w:val="16"/>
              </w:rPr>
              <w:t xml:space="preserve"> de la información. </w:t>
            </w:r>
          </w:p>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0" w:line="259" w:lineRule="auto"/>
              <w:ind w:left="68" w:firstLine="0"/>
              <w:jc w:val="left"/>
            </w:pPr>
            <w:r>
              <w:rPr>
                <w:sz w:val="16"/>
              </w:rPr>
              <w:t xml:space="preserve">Suscripción del acuerdo de confidencialidad (si aplica)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39"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64" w:right="9" w:firstLine="0"/>
              <w:jc w:val="left"/>
            </w:pPr>
            <w:r>
              <w:rPr>
                <w:sz w:val="16"/>
              </w:rPr>
              <w:t xml:space="preserve">Según el numeral 3.2.1.2 de los estudios previos.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8"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rPr>
              <w:t xml:space="preserve"> </w:t>
            </w:r>
          </w:p>
          <w:p w:rsidR="0076001D" w:rsidRDefault="0034129A">
            <w:pPr>
              <w:spacing w:after="0" w:line="259" w:lineRule="auto"/>
              <w:ind w:left="66" w:firstLine="0"/>
              <w:jc w:val="left"/>
            </w:pPr>
            <w:r>
              <w:rPr>
                <w:sz w:val="16"/>
              </w:rPr>
              <w:t xml:space="preserve">No aplica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39" w:lineRule="auto"/>
              <w:ind w:left="66" w:firstLine="0"/>
              <w:jc w:val="left"/>
            </w:pPr>
            <w:r>
              <w:rPr>
                <w:sz w:val="16"/>
              </w:rPr>
              <w:t xml:space="preserve">Los estudios previos, numeral 3.2.1.3 para el mantenimiento correctivo componente lógico de la infraestructura TIC, el servicio se prestará siguiendo los protocolos de seguridad de la entidad. </w:t>
            </w:r>
          </w:p>
          <w:p w:rsidR="0076001D" w:rsidRDefault="0034129A">
            <w:pPr>
              <w:spacing w:after="1" w:line="238" w:lineRule="auto"/>
              <w:ind w:left="66" w:firstLine="0"/>
              <w:jc w:val="left"/>
            </w:pPr>
            <w:r>
              <w:rPr>
                <w:sz w:val="16"/>
              </w:rPr>
              <w:t xml:space="preserve">4.2. </w:t>
            </w:r>
            <w:proofErr w:type="gramStart"/>
            <w:r>
              <w:rPr>
                <w:sz w:val="16"/>
              </w:rPr>
              <w:t>se</w:t>
            </w:r>
            <w:proofErr w:type="gramEnd"/>
            <w:r>
              <w:rPr>
                <w:sz w:val="16"/>
              </w:rPr>
              <w:t xml:space="preserve"> deben atender los procedimientos establecidos por la entidad. </w:t>
            </w:r>
          </w:p>
          <w:p w:rsidR="0076001D" w:rsidRDefault="0034129A">
            <w:pPr>
              <w:spacing w:after="0" w:line="259" w:lineRule="auto"/>
              <w:ind w:left="66" w:firstLine="0"/>
              <w:jc w:val="left"/>
            </w:pPr>
            <w:r>
              <w:rPr>
                <w:sz w:val="16"/>
              </w:rPr>
              <w:t xml:space="preserve">4.3. Dar cumplimento a las políticas de seguridad de los activos de información y el uso adecuado de internet y del correo electrónico. </w:t>
            </w:r>
          </w:p>
        </w:tc>
      </w:tr>
      <w:tr w:rsidR="0076001D">
        <w:trPr>
          <w:trHeight w:val="2772"/>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2" w:line="237" w:lineRule="auto"/>
              <w:ind w:left="61" w:firstLine="0"/>
              <w:jc w:val="center"/>
            </w:pPr>
            <w:proofErr w:type="spellStart"/>
            <w:r>
              <w:rPr>
                <w:sz w:val="16"/>
              </w:rPr>
              <w:t>Orde</w:t>
            </w:r>
            <w:proofErr w:type="spellEnd"/>
            <w:r>
              <w:rPr>
                <w:sz w:val="16"/>
              </w:rPr>
              <w:t xml:space="preserve"> n de </w:t>
            </w:r>
          </w:p>
          <w:p w:rsidR="0076001D" w:rsidRDefault="0034129A">
            <w:pPr>
              <w:spacing w:after="0" w:line="240" w:lineRule="auto"/>
              <w:ind w:left="0" w:firstLine="0"/>
              <w:jc w:val="center"/>
            </w:pPr>
            <w:proofErr w:type="spellStart"/>
            <w:r>
              <w:rPr>
                <w:sz w:val="16"/>
              </w:rPr>
              <w:t>Comp</w:t>
            </w:r>
            <w:proofErr w:type="spellEnd"/>
            <w:r>
              <w:rPr>
                <w:sz w:val="16"/>
              </w:rPr>
              <w:t xml:space="preserve"> </w:t>
            </w:r>
            <w:proofErr w:type="spellStart"/>
            <w:r>
              <w:rPr>
                <w:sz w:val="16"/>
              </w:rPr>
              <w:t>ra</w:t>
            </w:r>
            <w:proofErr w:type="spellEnd"/>
            <w:r>
              <w:rPr>
                <w:sz w:val="16"/>
              </w:rPr>
              <w:t xml:space="preserve"> </w:t>
            </w:r>
          </w:p>
          <w:p w:rsidR="0076001D" w:rsidRDefault="0034129A">
            <w:pPr>
              <w:spacing w:after="0" w:line="259" w:lineRule="auto"/>
              <w:ind w:left="0" w:firstLine="0"/>
              <w:jc w:val="center"/>
            </w:pPr>
            <w:r>
              <w:rPr>
                <w:sz w:val="16"/>
              </w:rPr>
              <w:t xml:space="preserve">107- 2019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25"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71" w:firstLine="0"/>
              <w:jc w:val="left"/>
            </w:pPr>
            <w:r>
              <w:rPr>
                <w:sz w:val="16"/>
              </w:rPr>
              <w:t xml:space="preserve">POINTMIN </w:t>
            </w:r>
          </w:p>
          <w:p w:rsidR="0076001D" w:rsidRDefault="0034129A">
            <w:pPr>
              <w:spacing w:after="0" w:line="259" w:lineRule="auto"/>
              <w:ind w:left="71" w:firstLine="0"/>
              <w:jc w:val="left"/>
            </w:pPr>
            <w:r>
              <w:rPr>
                <w:sz w:val="16"/>
              </w:rPr>
              <w:t xml:space="preserve">D SAS </w:t>
            </w:r>
          </w:p>
        </w:tc>
        <w:tc>
          <w:tcPr>
            <w:tcW w:w="113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1" w:line="239" w:lineRule="auto"/>
              <w:ind w:left="70" w:right="18" w:firstLine="0"/>
              <w:jc w:val="left"/>
            </w:pPr>
            <w:r>
              <w:rPr>
                <w:sz w:val="16"/>
              </w:rPr>
              <w:t xml:space="preserve">Suscripción al servicio de soporte de Oracle Linux y VM y migración de </w:t>
            </w:r>
          </w:p>
          <w:p w:rsidR="0076001D" w:rsidRDefault="0034129A">
            <w:pPr>
              <w:spacing w:after="0" w:line="259" w:lineRule="auto"/>
              <w:ind w:left="70" w:right="55" w:firstLine="0"/>
              <w:jc w:val="left"/>
            </w:pPr>
            <w:proofErr w:type="gramStart"/>
            <w:r>
              <w:rPr>
                <w:sz w:val="16"/>
              </w:rPr>
              <w:t>la</w:t>
            </w:r>
            <w:proofErr w:type="gramEnd"/>
            <w:r>
              <w:rPr>
                <w:sz w:val="16"/>
              </w:rPr>
              <w:t xml:space="preserve"> licencia del motor de base de datos a Oracle SE 2 y su </w:t>
            </w:r>
            <w:proofErr w:type="spellStart"/>
            <w:r>
              <w:rPr>
                <w:sz w:val="16"/>
              </w:rPr>
              <w:t>correspondie</w:t>
            </w:r>
            <w:proofErr w:type="spellEnd"/>
            <w:r>
              <w:rPr>
                <w:sz w:val="16"/>
              </w:rPr>
              <w:t xml:space="preserve"> </w:t>
            </w:r>
            <w:proofErr w:type="spellStart"/>
            <w:r>
              <w:rPr>
                <w:sz w:val="16"/>
              </w:rPr>
              <w:t>nte</w:t>
            </w:r>
            <w:proofErr w:type="spellEnd"/>
            <w:r>
              <w:rPr>
                <w:sz w:val="16"/>
              </w:rPr>
              <w:t xml:space="preserve"> soporte.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39"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68" w:firstLine="46"/>
              <w:jc w:val="left"/>
            </w:pPr>
            <w:r>
              <w:rPr>
                <w:sz w:val="16"/>
              </w:rPr>
              <w:t xml:space="preserve">Suscrito en octubre de 2019 con vigencia de licencia de dos años.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39" w:lineRule="auto"/>
              <w:ind w:left="68" w:right="70" w:firstLine="0"/>
              <w:jc w:val="left"/>
            </w:pPr>
            <w:r>
              <w:rPr>
                <w:sz w:val="16"/>
              </w:rPr>
              <w:t xml:space="preserve">Los estudios previos, numeral 4.2 indican que el contratista debe Guardar y mantener la debida reserva frente a temas y asuntos tratados y conocidos con ocasión de la ejecución del presente contrato. </w:t>
            </w:r>
          </w:p>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39" w:lineRule="auto"/>
              <w:ind w:left="68" w:right="94" w:firstLine="0"/>
              <w:jc w:val="left"/>
            </w:pPr>
            <w:r>
              <w:rPr>
                <w:sz w:val="16"/>
              </w:rPr>
              <w:t xml:space="preserve">Guardar y mantener la debida reserva frente a temas y asuntos tratados y conocidos con ocasión de la ejecución del presente contrato. </w:t>
            </w:r>
          </w:p>
          <w:p w:rsidR="0076001D" w:rsidRDefault="0034129A">
            <w:pPr>
              <w:spacing w:after="0" w:line="259" w:lineRule="auto"/>
              <w:ind w:left="68" w:firstLine="0"/>
              <w:jc w:val="left"/>
            </w:pPr>
            <w:r>
              <w:rPr>
                <w:sz w:val="16"/>
              </w:rPr>
              <w:lastRenderedPageBreak/>
              <w:t xml:space="preserve">Suscripción del acuerdo de confidencialidad (si aplica)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lastRenderedPageBreak/>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25"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4" w:firstLine="46"/>
              <w:jc w:val="left"/>
            </w:pPr>
            <w:r>
              <w:rPr>
                <w:sz w:val="16"/>
              </w:rPr>
              <w:t xml:space="preserve">No hay referencia explicita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2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1"/>
              </w:rPr>
              <w:t xml:space="preserve"> </w:t>
            </w:r>
          </w:p>
          <w:p w:rsidR="0076001D" w:rsidRDefault="0034129A">
            <w:pPr>
              <w:spacing w:after="0" w:line="259" w:lineRule="auto"/>
              <w:ind w:left="66" w:right="36" w:firstLine="46"/>
              <w:jc w:val="left"/>
            </w:pPr>
            <w:r>
              <w:rPr>
                <w:sz w:val="16"/>
              </w:rPr>
              <w:t xml:space="preserve">La suscripción a los soportes por parte del fabricante de OVM y OL, permitirá al instituto contar con soporte telefónico o en línea 7 días a la semana durante las 24 horas del día, así como el acceso a 'as actualizaciones y parches de seguridad para ambas herramientas, entre otros servicios adicionales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66" w:right="53" w:firstLine="0"/>
              <w:jc w:val="left"/>
            </w:pPr>
            <w:r>
              <w:rPr>
                <w:sz w:val="16"/>
              </w:rPr>
              <w:t xml:space="preserve">Los estudios previos, numeral 4.2 indican que el contratista debe Dar cumplimento a las políticas de seguridad de los activos de información y e' uso adecuado del </w:t>
            </w:r>
            <w:proofErr w:type="gramStart"/>
            <w:r>
              <w:rPr>
                <w:sz w:val="16"/>
              </w:rPr>
              <w:t>¡</w:t>
            </w:r>
            <w:proofErr w:type="gramEnd"/>
            <w:r>
              <w:rPr>
                <w:sz w:val="16"/>
              </w:rPr>
              <w:t xml:space="preserve">internet y de' correo electrónico. </w:t>
            </w:r>
          </w:p>
        </w:tc>
      </w:tr>
    </w:tbl>
    <w:p w:rsidR="0076001D" w:rsidRDefault="0076001D">
      <w:pPr>
        <w:spacing w:after="0" w:line="259" w:lineRule="auto"/>
        <w:ind w:left="-1440" w:right="14400" w:firstLine="0"/>
        <w:jc w:val="left"/>
      </w:pPr>
    </w:p>
    <w:tbl>
      <w:tblPr>
        <w:tblStyle w:val="TableGrid"/>
        <w:tblW w:w="13903" w:type="dxa"/>
        <w:tblInd w:w="-155" w:type="dxa"/>
        <w:tblCellMar>
          <w:top w:w="4" w:type="dxa"/>
          <w:left w:w="4" w:type="dxa"/>
          <w:right w:w="21" w:type="dxa"/>
        </w:tblCellMar>
        <w:tblLook w:val="04A0" w:firstRow="1" w:lastRow="0" w:firstColumn="1" w:lastColumn="0" w:noHBand="0" w:noVBand="1"/>
      </w:tblPr>
      <w:tblGrid>
        <w:gridCol w:w="565"/>
        <w:gridCol w:w="995"/>
        <w:gridCol w:w="1136"/>
        <w:gridCol w:w="2127"/>
        <w:gridCol w:w="2557"/>
        <w:gridCol w:w="1699"/>
        <w:gridCol w:w="2554"/>
        <w:gridCol w:w="2270"/>
      </w:tblGrid>
      <w:tr w:rsidR="0076001D">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7" w:firstLine="0"/>
              <w:jc w:val="center"/>
            </w:pPr>
            <w:r>
              <w:rPr>
                <w:b/>
                <w:sz w:val="16"/>
              </w:rPr>
              <w:t xml:space="preserve">N° </w:t>
            </w:r>
          </w:p>
          <w:p w:rsidR="0076001D" w:rsidRDefault="0034129A">
            <w:pPr>
              <w:spacing w:after="0" w:line="259" w:lineRule="auto"/>
              <w:ind w:left="0" w:firstLine="0"/>
              <w:jc w:val="center"/>
            </w:pPr>
            <w:proofErr w:type="spellStart"/>
            <w:r>
              <w:rPr>
                <w:b/>
                <w:sz w:val="16"/>
              </w:rPr>
              <w:t>Contr</w:t>
            </w:r>
            <w:proofErr w:type="spellEnd"/>
            <w:r>
              <w:rPr>
                <w:b/>
                <w:sz w:val="16"/>
              </w:rPr>
              <w:t xml:space="preserve"> ato </w:t>
            </w:r>
          </w:p>
        </w:tc>
        <w:tc>
          <w:tcPr>
            <w:tcW w:w="995"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0" w:firstLine="0"/>
              <w:jc w:val="center"/>
            </w:pPr>
            <w:r>
              <w:rPr>
                <w:b/>
                <w:sz w:val="16"/>
              </w:rPr>
              <w:t xml:space="preserve">Nombre Tercero </w:t>
            </w:r>
          </w:p>
        </w:tc>
        <w:tc>
          <w:tcPr>
            <w:tcW w:w="113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2" w:firstLine="0"/>
              <w:jc w:val="left"/>
            </w:pPr>
            <w:r>
              <w:rPr>
                <w:rFonts w:ascii="Times New Roman" w:eastAsia="Times New Roman" w:hAnsi="Times New Roman" w:cs="Times New Roman"/>
                <w:sz w:val="15"/>
              </w:rPr>
              <w:t xml:space="preserve"> </w:t>
            </w:r>
          </w:p>
          <w:p w:rsidR="0076001D" w:rsidRDefault="0034129A">
            <w:pPr>
              <w:spacing w:after="0" w:line="259" w:lineRule="auto"/>
              <w:ind w:left="23" w:firstLine="0"/>
              <w:jc w:val="center"/>
            </w:pPr>
            <w:r>
              <w:rPr>
                <w:b/>
                <w:sz w:val="16"/>
              </w:rPr>
              <w:t xml:space="preserve">OBJETO </w:t>
            </w:r>
          </w:p>
        </w:tc>
        <w:tc>
          <w:tcPr>
            <w:tcW w:w="212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14" w:firstLine="0"/>
              <w:jc w:val="left"/>
            </w:pPr>
            <w:r>
              <w:rPr>
                <w:b/>
                <w:sz w:val="16"/>
              </w:rPr>
              <w:t xml:space="preserve">Observaciones Auditoría </w:t>
            </w:r>
          </w:p>
        </w:tc>
        <w:tc>
          <w:tcPr>
            <w:tcW w:w="255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6" w:firstLine="0"/>
              <w:jc w:val="center"/>
            </w:pPr>
            <w:r>
              <w:rPr>
                <w:b/>
                <w:sz w:val="16"/>
              </w:rPr>
              <w:t xml:space="preserve">Acuerdo Confidencialidad </w:t>
            </w:r>
          </w:p>
        </w:tc>
        <w:tc>
          <w:tcPr>
            <w:tcW w:w="1699"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9" w:firstLine="0"/>
              <w:jc w:val="center"/>
            </w:pPr>
            <w:r>
              <w:rPr>
                <w:b/>
                <w:sz w:val="16"/>
              </w:rPr>
              <w:t xml:space="preserve">ANS </w:t>
            </w:r>
          </w:p>
        </w:tc>
        <w:tc>
          <w:tcPr>
            <w:tcW w:w="2554"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38" w:firstLine="0"/>
              <w:jc w:val="left"/>
            </w:pPr>
            <w:r>
              <w:rPr>
                <w:b/>
                <w:sz w:val="16"/>
              </w:rPr>
              <w:t xml:space="preserve">Trasferencia de conocimiento </w:t>
            </w:r>
          </w:p>
        </w:tc>
        <w:tc>
          <w:tcPr>
            <w:tcW w:w="2270"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0" w:firstLine="0"/>
              <w:jc w:val="center"/>
            </w:pPr>
            <w:r>
              <w:rPr>
                <w:b/>
                <w:sz w:val="16"/>
              </w:rPr>
              <w:t xml:space="preserve">Requisitos de seguridad </w:t>
            </w:r>
          </w:p>
        </w:tc>
      </w:tr>
      <w:tr w:rsidR="0076001D">
        <w:trPr>
          <w:trHeight w:val="3691"/>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18"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40" w:lineRule="auto"/>
              <w:ind w:left="61" w:firstLine="0"/>
              <w:jc w:val="center"/>
            </w:pPr>
            <w:proofErr w:type="spellStart"/>
            <w:r>
              <w:rPr>
                <w:sz w:val="16"/>
              </w:rPr>
              <w:t>Orde</w:t>
            </w:r>
            <w:proofErr w:type="spellEnd"/>
            <w:r>
              <w:rPr>
                <w:sz w:val="16"/>
              </w:rPr>
              <w:t xml:space="preserve"> n de </w:t>
            </w:r>
          </w:p>
          <w:p w:rsidR="0076001D" w:rsidRDefault="0034129A">
            <w:pPr>
              <w:spacing w:after="0" w:line="240" w:lineRule="auto"/>
              <w:ind w:left="1" w:firstLine="0"/>
              <w:jc w:val="center"/>
            </w:pPr>
            <w:proofErr w:type="spellStart"/>
            <w:r>
              <w:rPr>
                <w:sz w:val="16"/>
              </w:rPr>
              <w:t>Comp</w:t>
            </w:r>
            <w:proofErr w:type="spellEnd"/>
            <w:r>
              <w:rPr>
                <w:sz w:val="16"/>
              </w:rPr>
              <w:t xml:space="preserve"> </w:t>
            </w:r>
            <w:proofErr w:type="spellStart"/>
            <w:r>
              <w:rPr>
                <w:sz w:val="16"/>
              </w:rPr>
              <w:t>ra</w:t>
            </w:r>
            <w:proofErr w:type="spellEnd"/>
            <w:r>
              <w:rPr>
                <w:sz w:val="16"/>
              </w:rPr>
              <w:t xml:space="preserve"> </w:t>
            </w:r>
          </w:p>
          <w:p w:rsidR="0076001D" w:rsidRDefault="0034129A">
            <w:pPr>
              <w:spacing w:after="0" w:line="259" w:lineRule="auto"/>
              <w:ind w:left="0" w:firstLine="0"/>
              <w:jc w:val="center"/>
            </w:pPr>
            <w:r>
              <w:rPr>
                <w:sz w:val="16"/>
              </w:rPr>
              <w:t xml:space="preserve">115- 2019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58"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6"/>
              </w:rPr>
              <w:t xml:space="preserve"> </w:t>
            </w:r>
          </w:p>
          <w:p w:rsidR="0076001D" w:rsidRDefault="0034129A">
            <w:pPr>
              <w:spacing w:after="0" w:line="259" w:lineRule="auto"/>
              <w:ind w:left="71" w:firstLine="0"/>
            </w:pPr>
            <w:r>
              <w:rPr>
                <w:sz w:val="16"/>
              </w:rPr>
              <w:t xml:space="preserve">ITSEC SAS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39" w:lineRule="auto"/>
              <w:ind w:left="70" w:firstLine="0"/>
              <w:jc w:val="left"/>
            </w:pPr>
            <w:r>
              <w:rPr>
                <w:sz w:val="16"/>
              </w:rPr>
              <w:t xml:space="preserve">Prestación de servicios para la renovación de licencias </w:t>
            </w:r>
          </w:p>
          <w:p w:rsidR="0076001D" w:rsidRDefault="0034129A">
            <w:pPr>
              <w:spacing w:after="0" w:line="259" w:lineRule="auto"/>
              <w:ind w:left="70" w:firstLine="0"/>
              <w:jc w:val="left"/>
            </w:pPr>
            <w:r>
              <w:rPr>
                <w:sz w:val="16"/>
              </w:rPr>
              <w:t xml:space="preserve">de antivirus </w:t>
            </w:r>
          </w:p>
          <w:p w:rsidR="0076001D" w:rsidRDefault="0034129A">
            <w:pPr>
              <w:spacing w:after="0" w:line="259" w:lineRule="auto"/>
              <w:ind w:left="70" w:firstLine="0"/>
              <w:jc w:val="left"/>
            </w:pPr>
            <w:proofErr w:type="spellStart"/>
            <w:r>
              <w:rPr>
                <w:sz w:val="16"/>
              </w:rPr>
              <w:t>Kaspersky</w:t>
            </w:r>
            <w:proofErr w:type="spellEnd"/>
            <w:r>
              <w:rPr>
                <w:sz w:val="16"/>
              </w:rPr>
              <w:t xml:space="preserve"> </w:t>
            </w:r>
          </w:p>
          <w:p w:rsidR="0076001D" w:rsidRDefault="0034129A">
            <w:pPr>
              <w:spacing w:after="0" w:line="259" w:lineRule="auto"/>
              <w:ind w:left="70" w:firstLine="0"/>
              <w:jc w:val="left"/>
            </w:pPr>
            <w:proofErr w:type="spellStart"/>
            <w:r>
              <w:rPr>
                <w:sz w:val="16"/>
              </w:rPr>
              <w:t>Endpoint</w:t>
            </w:r>
            <w:proofErr w:type="spellEnd"/>
            <w:r>
              <w:rPr>
                <w:sz w:val="16"/>
              </w:rPr>
              <w:t xml:space="preserve"> </w:t>
            </w:r>
          </w:p>
          <w:p w:rsidR="0076001D" w:rsidRDefault="0034129A">
            <w:pPr>
              <w:spacing w:after="0" w:line="259" w:lineRule="auto"/>
              <w:ind w:left="70" w:firstLine="0"/>
              <w:jc w:val="left"/>
            </w:pPr>
            <w:r>
              <w:rPr>
                <w:sz w:val="16"/>
              </w:rPr>
              <w:t xml:space="preserve">Security </w:t>
            </w:r>
            <w:proofErr w:type="spellStart"/>
            <w:r>
              <w:rPr>
                <w:sz w:val="16"/>
              </w:rPr>
              <w:t>for</w:t>
            </w:r>
            <w:proofErr w:type="spellEnd"/>
            <w:r>
              <w:rPr>
                <w:sz w:val="16"/>
              </w:rPr>
              <w:t xml:space="preserve"> </w:t>
            </w:r>
          </w:p>
          <w:p w:rsidR="0076001D" w:rsidRDefault="0034129A">
            <w:pPr>
              <w:spacing w:after="0" w:line="259" w:lineRule="auto"/>
              <w:ind w:left="70" w:firstLine="0"/>
              <w:jc w:val="left"/>
            </w:pPr>
            <w:r>
              <w:rPr>
                <w:sz w:val="16"/>
              </w:rPr>
              <w:t xml:space="preserve">Business – </w:t>
            </w:r>
          </w:p>
          <w:p w:rsidR="0076001D" w:rsidRDefault="0034129A">
            <w:pPr>
              <w:spacing w:after="0" w:line="259" w:lineRule="auto"/>
              <w:ind w:left="70" w:firstLine="0"/>
              <w:jc w:val="left"/>
            </w:pPr>
            <w:proofErr w:type="spellStart"/>
            <w:r>
              <w:rPr>
                <w:sz w:val="16"/>
              </w:rPr>
              <w:t>Select</w:t>
            </w:r>
            <w:proofErr w:type="spellEnd"/>
            <w:r>
              <w:rPr>
                <w:sz w:val="16"/>
              </w:rPr>
              <w:t xml:space="preserve"> </w:t>
            </w:r>
          </w:p>
          <w:p w:rsidR="0076001D" w:rsidRDefault="0034129A">
            <w:pPr>
              <w:spacing w:after="1" w:line="239" w:lineRule="auto"/>
              <w:ind w:left="70" w:right="28" w:firstLine="0"/>
              <w:jc w:val="left"/>
            </w:pPr>
            <w:r>
              <w:rPr>
                <w:sz w:val="16"/>
              </w:rPr>
              <w:t xml:space="preserve">Educacional </w:t>
            </w:r>
            <w:proofErr w:type="spellStart"/>
            <w:r>
              <w:rPr>
                <w:sz w:val="16"/>
              </w:rPr>
              <w:t>License</w:t>
            </w:r>
            <w:proofErr w:type="spellEnd"/>
            <w:r>
              <w:rPr>
                <w:sz w:val="16"/>
              </w:rPr>
              <w:t xml:space="preserve"> y los servicios de actualización, migración y depuración de la Consola </w:t>
            </w:r>
          </w:p>
          <w:p w:rsidR="0076001D" w:rsidRDefault="0034129A">
            <w:pPr>
              <w:spacing w:after="0" w:line="259" w:lineRule="auto"/>
              <w:ind w:left="70" w:firstLine="0"/>
              <w:jc w:val="left"/>
            </w:pPr>
            <w:proofErr w:type="spellStart"/>
            <w:r>
              <w:rPr>
                <w:sz w:val="16"/>
              </w:rPr>
              <w:t>Kaspersky</w:t>
            </w:r>
            <w:proofErr w:type="spellEnd"/>
            <w:r>
              <w:rPr>
                <w:sz w:val="16"/>
              </w:rPr>
              <w:t xml:space="preserve"> </w:t>
            </w:r>
          </w:p>
          <w:p w:rsidR="0076001D" w:rsidRDefault="0034129A">
            <w:pPr>
              <w:spacing w:after="0" w:line="259" w:lineRule="auto"/>
              <w:ind w:left="70" w:firstLine="0"/>
              <w:jc w:val="left"/>
            </w:pPr>
            <w:r>
              <w:rPr>
                <w:sz w:val="16"/>
              </w:rPr>
              <w:t xml:space="preserve">Security </w:t>
            </w:r>
          </w:p>
          <w:p w:rsidR="0076001D" w:rsidRDefault="0034129A">
            <w:pPr>
              <w:spacing w:after="0" w:line="259" w:lineRule="auto"/>
              <w:ind w:left="70" w:firstLine="0"/>
              <w:jc w:val="left"/>
            </w:pPr>
            <w:r>
              <w:rPr>
                <w:sz w:val="16"/>
              </w:rPr>
              <w:t xml:space="preserve">Center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8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8" w:firstLine="0"/>
              <w:jc w:val="left"/>
            </w:pPr>
            <w:r>
              <w:rPr>
                <w:sz w:val="16"/>
              </w:rPr>
              <w:t xml:space="preserve">Carta de aceptación de la oferta 115 de 2019, renovación por 3 años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7"/>
              </w:rPr>
              <w:t xml:space="preserve"> </w:t>
            </w:r>
          </w:p>
          <w:p w:rsidR="0076001D" w:rsidRDefault="0034129A">
            <w:pPr>
              <w:spacing w:after="0" w:line="259" w:lineRule="auto"/>
              <w:ind w:left="68" w:firstLine="0"/>
              <w:jc w:val="left"/>
            </w:pPr>
            <w:r>
              <w:rPr>
                <w:sz w:val="16"/>
              </w:rPr>
              <w:t xml:space="preserve">Según estudios previos del contrato, numeral 4.2 ítem 9.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0" w:line="259" w:lineRule="auto"/>
              <w:ind w:left="64" w:right="18" w:firstLine="0"/>
              <w:jc w:val="left"/>
            </w:pPr>
            <w:r>
              <w:rPr>
                <w:sz w:val="16"/>
              </w:rPr>
              <w:t xml:space="preserve">Según estudios previos del contrato, numeral 3.1 Especificaciones técnicas establece soporte 5x8 durante el tiempo de renovación del contrato.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26" w:line="259" w:lineRule="auto"/>
              <w:ind w:left="1" w:firstLine="0"/>
              <w:jc w:val="left"/>
            </w:pPr>
            <w:r>
              <w:rPr>
                <w:rFonts w:ascii="Times New Roman" w:eastAsia="Times New Roman" w:hAnsi="Times New Roman" w:cs="Times New Roman"/>
                <w:sz w:val="18"/>
              </w:rPr>
              <w:t xml:space="preserve"> </w:t>
            </w:r>
          </w:p>
          <w:p w:rsidR="0076001D" w:rsidRDefault="0034129A">
            <w:pPr>
              <w:spacing w:after="1" w:line="239" w:lineRule="auto"/>
              <w:ind w:left="66" w:firstLine="0"/>
              <w:jc w:val="left"/>
            </w:pPr>
            <w:r>
              <w:rPr>
                <w:sz w:val="16"/>
              </w:rPr>
              <w:t xml:space="preserve">Los estudios previos del contrato, numeral 4.1 obligaciones específicas establece que ésta se realizará una vez finalice la actualización, migración y depuración de la Consola </w:t>
            </w:r>
          </w:p>
          <w:p w:rsidR="0076001D" w:rsidRDefault="0034129A">
            <w:pPr>
              <w:spacing w:after="0" w:line="259" w:lineRule="auto"/>
              <w:ind w:left="66" w:firstLine="0"/>
              <w:jc w:val="left"/>
            </w:pPr>
            <w:proofErr w:type="spellStart"/>
            <w:r>
              <w:rPr>
                <w:sz w:val="16"/>
              </w:rPr>
              <w:t>Kaspersky</w:t>
            </w:r>
            <w:proofErr w:type="spellEnd"/>
            <w:r>
              <w:rPr>
                <w:sz w:val="16"/>
              </w:rPr>
              <w:t xml:space="preserve"> Security Center.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26"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6" w:firstLine="0"/>
              <w:jc w:val="left"/>
            </w:pPr>
            <w:r>
              <w:rPr>
                <w:sz w:val="16"/>
              </w:rPr>
              <w:t xml:space="preserve">Según estudios previos del contrato, numeral 4.2 ítem 14 indica sobre el cumplimiento de las políticas de seguridad de activos de información, el uso adecuado de internet y del correo electrónico. </w:t>
            </w:r>
          </w:p>
        </w:tc>
      </w:tr>
      <w:tr w:rsidR="0076001D">
        <w:trPr>
          <w:trHeight w:val="3694"/>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lastRenderedPageBreak/>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center"/>
            </w:pPr>
            <w:r>
              <w:rPr>
                <w:sz w:val="16"/>
              </w:rPr>
              <w:t xml:space="preserve">26- 2020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71" w:firstLine="0"/>
            </w:pPr>
            <w:r>
              <w:rPr>
                <w:sz w:val="16"/>
              </w:rPr>
              <w:t xml:space="preserve">SOPORTE </w:t>
            </w:r>
          </w:p>
          <w:p w:rsidR="0076001D" w:rsidRDefault="0034129A">
            <w:pPr>
              <w:spacing w:after="0" w:line="259" w:lineRule="auto"/>
              <w:ind w:left="71" w:firstLine="0"/>
              <w:jc w:val="left"/>
            </w:pPr>
            <w:r>
              <w:rPr>
                <w:sz w:val="16"/>
              </w:rPr>
              <w:t xml:space="preserve">LOGICO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 w:firstLine="0"/>
              <w:jc w:val="left"/>
            </w:pPr>
            <w:r>
              <w:rPr>
                <w:rFonts w:ascii="Times New Roman" w:eastAsia="Times New Roman" w:hAnsi="Times New Roman" w:cs="Times New Roman"/>
                <w:sz w:val="18"/>
              </w:rPr>
              <w:t xml:space="preserve"> </w:t>
            </w:r>
          </w:p>
          <w:p w:rsidR="0076001D" w:rsidRDefault="0034129A">
            <w:pPr>
              <w:spacing w:after="0" w:line="259" w:lineRule="auto"/>
              <w:ind w:left="2" w:firstLine="0"/>
              <w:jc w:val="left"/>
            </w:pPr>
            <w:r>
              <w:rPr>
                <w:rFonts w:ascii="Times New Roman" w:eastAsia="Times New Roman" w:hAnsi="Times New Roman" w:cs="Times New Roman"/>
                <w:sz w:val="18"/>
              </w:rPr>
              <w:t xml:space="preserve"> </w:t>
            </w:r>
          </w:p>
          <w:p w:rsidR="0076001D" w:rsidRDefault="0034129A">
            <w:pPr>
              <w:spacing w:after="58" w:line="259" w:lineRule="auto"/>
              <w:ind w:left="2" w:firstLine="0"/>
              <w:jc w:val="left"/>
            </w:pPr>
            <w:r>
              <w:rPr>
                <w:rFonts w:ascii="Times New Roman" w:eastAsia="Times New Roman" w:hAnsi="Times New Roman" w:cs="Times New Roman"/>
                <w:sz w:val="18"/>
              </w:rPr>
              <w:t xml:space="preserve"> </w:t>
            </w:r>
          </w:p>
          <w:p w:rsidR="0076001D" w:rsidRDefault="0034129A">
            <w:pPr>
              <w:spacing w:after="0" w:line="259" w:lineRule="auto"/>
              <w:ind w:left="2" w:firstLine="0"/>
              <w:jc w:val="left"/>
            </w:pPr>
            <w:r>
              <w:rPr>
                <w:rFonts w:ascii="Times New Roman" w:eastAsia="Times New Roman" w:hAnsi="Times New Roman" w:cs="Times New Roman"/>
                <w:sz w:val="26"/>
              </w:rPr>
              <w:t xml:space="preserve"> </w:t>
            </w:r>
          </w:p>
          <w:p w:rsidR="0076001D" w:rsidRDefault="0034129A">
            <w:pPr>
              <w:spacing w:after="1" w:line="238" w:lineRule="auto"/>
              <w:ind w:left="70" w:firstLine="0"/>
              <w:jc w:val="left"/>
            </w:pPr>
            <w:r>
              <w:rPr>
                <w:sz w:val="16"/>
              </w:rPr>
              <w:t xml:space="preserve">Prestación de servicio de soporte, actualización y </w:t>
            </w:r>
          </w:p>
          <w:p w:rsidR="0076001D" w:rsidRDefault="0034129A">
            <w:pPr>
              <w:spacing w:after="1" w:line="239" w:lineRule="auto"/>
              <w:ind w:left="70" w:firstLine="0"/>
              <w:jc w:val="left"/>
            </w:pPr>
            <w:proofErr w:type="spellStart"/>
            <w:r>
              <w:rPr>
                <w:sz w:val="16"/>
              </w:rPr>
              <w:t>mantenimient</w:t>
            </w:r>
            <w:proofErr w:type="spellEnd"/>
            <w:r>
              <w:rPr>
                <w:sz w:val="16"/>
              </w:rPr>
              <w:t xml:space="preserve"> o al sistema de información </w:t>
            </w:r>
          </w:p>
          <w:p w:rsidR="0076001D" w:rsidRDefault="0034129A">
            <w:pPr>
              <w:spacing w:after="0" w:line="259" w:lineRule="auto"/>
              <w:ind w:left="70" w:firstLine="0"/>
              <w:jc w:val="left"/>
            </w:pPr>
            <w:r>
              <w:rPr>
                <w:sz w:val="16"/>
              </w:rPr>
              <w:t xml:space="preserve">HUMANO.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8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8" w:right="254" w:firstLine="46"/>
            </w:pPr>
            <w:r>
              <w:rPr>
                <w:sz w:val="16"/>
              </w:rPr>
              <w:t xml:space="preserve">El contrato se encuentra vigente desde el 13 de marzo de 2020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1" w:line="239" w:lineRule="auto"/>
              <w:ind w:left="68" w:firstLine="0"/>
              <w:jc w:val="left"/>
            </w:pPr>
            <w:r>
              <w:rPr>
                <w:sz w:val="16"/>
              </w:rPr>
              <w:t xml:space="preserve">El numeral 8.1 de los estudios previos establece: El contratista debe guardar y mantener la debida reserva frente a temas y asuntos tratados y conocidos con ocasión </w:t>
            </w:r>
          </w:p>
          <w:p w:rsidR="0076001D" w:rsidRDefault="0034129A">
            <w:pPr>
              <w:spacing w:after="2" w:line="237" w:lineRule="auto"/>
              <w:ind w:left="68" w:firstLine="0"/>
              <w:jc w:val="left"/>
            </w:pPr>
            <w:proofErr w:type="gramStart"/>
            <w:r>
              <w:rPr>
                <w:sz w:val="16"/>
              </w:rPr>
              <w:t>de</w:t>
            </w:r>
            <w:proofErr w:type="gramEnd"/>
            <w:r>
              <w:rPr>
                <w:sz w:val="16"/>
              </w:rPr>
              <w:t xml:space="preserve"> la ejecución del presente contrato. </w:t>
            </w:r>
          </w:p>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0" w:line="239" w:lineRule="auto"/>
              <w:ind w:left="68" w:right="98" w:firstLine="43"/>
              <w:jc w:val="left"/>
            </w:pPr>
            <w:r>
              <w:rPr>
                <w:sz w:val="16"/>
              </w:rPr>
              <w:t xml:space="preserve">Mantener la confidencialidad de la información suministrada por EL INSTITUTO, la cual solo podrá ser utilizada para la correcta ejecución del servicio contratado. </w:t>
            </w:r>
          </w:p>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68" w:firstLine="0"/>
              <w:jc w:val="left"/>
            </w:pPr>
            <w:r>
              <w:rPr>
                <w:sz w:val="16"/>
              </w:rPr>
              <w:t xml:space="preserve">Suscripción del acuerdo de confidencialidad.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2" w:line="237" w:lineRule="auto"/>
              <w:ind w:left="64" w:firstLine="0"/>
              <w:jc w:val="left"/>
            </w:pPr>
            <w:r>
              <w:rPr>
                <w:sz w:val="16"/>
              </w:rPr>
              <w:t xml:space="preserve">El numeral 8.1 de los estudios previos: </w:t>
            </w:r>
          </w:p>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0" w:line="239" w:lineRule="auto"/>
              <w:ind w:left="64" w:firstLine="0"/>
              <w:jc w:val="left"/>
            </w:pPr>
            <w:r>
              <w:rPr>
                <w:sz w:val="16"/>
              </w:rPr>
              <w:t xml:space="preserve">Disponibilidad de servicio 7 x 24 durante los 365 días del año. </w:t>
            </w:r>
          </w:p>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2" w:line="238" w:lineRule="auto"/>
              <w:ind w:left="64" w:firstLine="0"/>
              <w:jc w:val="left"/>
            </w:pPr>
            <w:r>
              <w:rPr>
                <w:sz w:val="16"/>
              </w:rPr>
              <w:t xml:space="preserve">Garantizar que el software soporte el IPv6 nativo en coexistencia con el lPv4. </w:t>
            </w:r>
          </w:p>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0" w:line="259" w:lineRule="auto"/>
              <w:ind w:left="64" w:firstLine="0"/>
              <w:jc w:val="left"/>
            </w:pPr>
            <w:r>
              <w:rPr>
                <w:sz w:val="16"/>
              </w:rPr>
              <w:t xml:space="preserve">Realizar el Monitoreo en el </w:t>
            </w:r>
            <w:proofErr w:type="spellStart"/>
            <w:r>
              <w:rPr>
                <w:sz w:val="16"/>
              </w:rPr>
              <w:t>Datacenter</w:t>
            </w:r>
            <w:proofErr w:type="spellEnd"/>
            <w:r>
              <w:rPr>
                <w:sz w:val="16"/>
              </w:rPr>
              <w:t xml:space="preserve"> que tiene dispuesto Soporte Lógico Ltda. </w:t>
            </w:r>
            <w:proofErr w:type="gramStart"/>
            <w:r>
              <w:rPr>
                <w:sz w:val="16"/>
              </w:rPr>
              <w:t>en</w:t>
            </w:r>
            <w:proofErr w:type="gramEnd"/>
            <w:r>
              <w:rPr>
                <w:sz w:val="16"/>
              </w:rPr>
              <w:t xml:space="preserve"> una disponibilidad de 7x24x365.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 w:line="239" w:lineRule="auto"/>
              <w:ind w:left="66" w:right="34" w:firstLine="0"/>
              <w:jc w:val="left"/>
            </w:pPr>
            <w:r>
              <w:rPr>
                <w:sz w:val="16"/>
              </w:rPr>
              <w:t xml:space="preserve">El numeral 8.1 de los estudios previos: Proporcionar la capacitación sin ningún costo adicional a los servidores públicos que se requieran por parte del </w:t>
            </w:r>
            <w:proofErr w:type="spellStart"/>
            <w:r>
              <w:rPr>
                <w:sz w:val="16"/>
              </w:rPr>
              <w:t>lDEP</w:t>
            </w:r>
            <w:proofErr w:type="spellEnd"/>
            <w:r>
              <w:rPr>
                <w:sz w:val="16"/>
              </w:rPr>
              <w:t xml:space="preserve">, en las </w:t>
            </w:r>
          </w:p>
          <w:p w:rsidR="0076001D" w:rsidRDefault="0034129A">
            <w:pPr>
              <w:spacing w:after="0" w:line="259" w:lineRule="auto"/>
              <w:ind w:left="66" w:firstLine="0"/>
              <w:jc w:val="left"/>
            </w:pPr>
            <w:r>
              <w:rPr>
                <w:sz w:val="16"/>
              </w:rPr>
              <w:t xml:space="preserve">instalaciones de Soporte Lógico, </w:t>
            </w:r>
          </w:p>
          <w:p w:rsidR="0076001D" w:rsidRDefault="0034129A">
            <w:pPr>
              <w:spacing w:after="0" w:line="259" w:lineRule="auto"/>
              <w:ind w:left="66" w:firstLine="0"/>
            </w:pPr>
            <w:r>
              <w:rPr>
                <w:sz w:val="16"/>
              </w:rPr>
              <w:t xml:space="preserve">previa programación acordada en </w:t>
            </w:r>
          </w:p>
          <w:p w:rsidR="0076001D" w:rsidRDefault="0034129A">
            <w:pPr>
              <w:spacing w:after="0" w:line="259" w:lineRule="auto"/>
              <w:ind w:left="66" w:right="481" w:firstLine="0"/>
              <w:jc w:val="left"/>
            </w:pPr>
            <w:r>
              <w:rPr>
                <w:sz w:val="16"/>
              </w:rPr>
              <w:t>{</w:t>
            </w:r>
            <w:proofErr w:type="gramStart"/>
            <w:r>
              <w:rPr>
                <w:sz w:val="16"/>
              </w:rPr>
              <w:t>re</w:t>
            </w:r>
            <w:proofErr w:type="gramEnd"/>
            <w:r>
              <w:rPr>
                <w:sz w:val="16"/>
              </w:rPr>
              <w:t xml:space="preserve"> la supervisión del contrato y el contratista.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58"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6"/>
              </w:rPr>
              <w:t xml:space="preserve"> </w:t>
            </w:r>
          </w:p>
          <w:p w:rsidR="0076001D" w:rsidRDefault="0034129A">
            <w:pPr>
              <w:spacing w:after="0" w:line="259" w:lineRule="auto"/>
              <w:ind w:left="66" w:right="106" w:firstLine="0"/>
              <w:jc w:val="left"/>
            </w:pPr>
            <w:r>
              <w:rPr>
                <w:sz w:val="16"/>
              </w:rPr>
              <w:t xml:space="preserve">El numeral 8.1 de los estudios previos establece que el contratista debe dar cumplimento a las políticas de seguridad de los activos de información y el uso adecuado del internet y del correo electrónico que fije la entidad en cualquier sentido. </w:t>
            </w:r>
          </w:p>
        </w:tc>
      </w:tr>
    </w:tbl>
    <w:p w:rsidR="0076001D" w:rsidRDefault="0076001D">
      <w:pPr>
        <w:spacing w:after="0" w:line="259" w:lineRule="auto"/>
        <w:ind w:left="-1440" w:right="14400" w:firstLine="0"/>
        <w:jc w:val="left"/>
      </w:pPr>
    </w:p>
    <w:tbl>
      <w:tblPr>
        <w:tblStyle w:val="TableGrid"/>
        <w:tblW w:w="13903" w:type="dxa"/>
        <w:tblInd w:w="-155" w:type="dxa"/>
        <w:tblCellMar>
          <w:top w:w="4" w:type="dxa"/>
          <w:left w:w="4" w:type="dxa"/>
          <w:right w:w="21" w:type="dxa"/>
        </w:tblCellMar>
        <w:tblLook w:val="04A0" w:firstRow="1" w:lastRow="0" w:firstColumn="1" w:lastColumn="0" w:noHBand="0" w:noVBand="1"/>
      </w:tblPr>
      <w:tblGrid>
        <w:gridCol w:w="565"/>
        <w:gridCol w:w="995"/>
        <w:gridCol w:w="1136"/>
        <w:gridCol w:w="2127"/>
        <w:gridCol w:w="2557"/>
        <w:gridCol w:w="1699"/>
        <w:gridCol w:w="2554"/>
        <w:gridCol w:w="2270"/>
      </w:tblGrid>
      <w:tr w:rsidR="0076001D">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7" w:firstLine="0"/>
              <w:jc w:val="center"/>
            </w:pPr>
            <w:r>
              <w:rPr>
                <w:b/>
                <w:sz w:val="16"/>
              </w:rPr>
              <w:t xml:space="preserve">N° </w:t>
            </w:r>
          </w:p>
          <w:p w:rsidR="0076001D" w:rsidRDefault="0034129A">
            <w:pPr>
              <w:spacing w:after="0" w:line="259" w:lineRule="auto"/>
              <w:ind w:left="0" w:firstLine="0"/>
              <w:jc w:val="center"/>
            </w:pPr>
            <w:proofErr w:type="spellStart"/>
            <w:r>
              <w:rPr>
                <w:b/>
                <w:sz w:val="16"/>
              </w:rPr>
              <w:t>Contr</w:t>
            </w:r>
            <w:proofErr w:type="spellEnd"/>
            <w:r>
              <w:rPr>
                <w:b/>
                <w:sz w:val="16"/>
              </w:rPr>
              <w:t xml:space="preserve"> ato </w:t>
            </w:r>
          </w:p>
        </w:tc>
        <w:tc>
          <w:tcPr>
            <w:tcW w:w="995"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0" w:firstLine="0"/>
              <w:jc w:val="center"/>
            </w:pPr>
            <w:r>
              <w:rPr>
                <w:b/>
                <w:sz w:val="16"/>
              </w:rPr>
              <w:t xml:space="preserve">Nombre Tercero </w:t>
            </w:r>
          </w:p>
        </w:tc>
        <w:tc>
          <w:tcPr>
            <w:tcW w:w="113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2" w:firstLine="0"/>
              <w:jc w:val="left"/>
            </w:pPr>
            <w:r>
              <w:rPr>
                <w:rFonts w:ascii="Times New Roman" w:eastAsia="Times New Roman" w:hAnsi="Times New Roman" w:cs="Times New Roman"/>
                <w:sz w:val="15"/>
              </w:rPr>
              <w:t xml:space="preserve"> </w:t>
            </w:r>
          </w:p>
          <w:p w:rsidR="0076001D" w:rsidRDefault="0034129A">
            <w:pPr>
              <w:spacing w:after="0" w:line="259" w:lineRule="auto"/>
              <w:ind w:left="23" w:firstLine="0"/>
              <w:jc w:val="center"/>
            </w:pPr>
            <w:r>
              <w:rPr>
                <w:b/>
                <w:sz w:val="16"/>
              </w:rPr>
              <w:t xml:space="preserve">OBJETO </w:t>
            </w:r>
          </w:p>
        </w:tc>
        <w:tc>
          <w:tcPr>
            <w:tcW w:w="212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14" w:firstLine="0"/>
              <w:jc w:val="left"/>
            </w:pPr>
            <w:r>
              <w:rPr>
                <w:b/>
                <w:sz w:val="16"/>
              </w:rPr>
              <w:t xml:space="preserve">Observaciones Auditoría </w:t>
            </w:r>
          </w:p>
        </w:tc>
        <w:tc>
          <w:tcPr>
            <w:tcW w:w="255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26" w:firstLine="0"/>
              <w:jc w:val="center"/>
            </w:pPr>
            <w:r>
              <w:rPr>
                <w:b/>
                <w:sz w:val="16"/>
              </w:rPr>
              <w:t xml:space="preserve">Acuerdo Confidencialidad </w:t>
            </w:r>
          </w:p>
        </w:tc>
        <w:tc>
          <w:tcPr>
            <w:tcW w:w="1699"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9" w:firstLine="0"/>
              <w:jc w:val="center"/>
            </w:pPr>
            <w:r>
              <w:rPr>
                <w:b/>
                <w:sz w:val="16"/>
              </w:rPr>
              <w:t xml:space="preserve">ANS </w:t>
            </w:r>
          </w:p>
        </w:tc>
        <w:tc>
          <w:tcPr>
            <w:tcW w:w="2554"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38" w:firstLine="0"/>
              <w:jc w:val="left"/>
            </w:pPr>
            <w:r>
              <w:rPr>
                <w:b/>
                <w:sz w:val="16"/>
              </w:rPr>
              <w:t xml:space="preserve">Trasferencia de conocimiento </w:t>
            </w:r>
          </w:p>
        </w:tc>
        <w:tc>
          <w:tcPr>
            <w:tcW w:w="2270"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0" w:firstLine="0"/>
              <w:jc w:val="center"/>
            </w:pPr>
            <w:r>
              <w:rPr>
                <w:b/>
                <w:sz w:val="16"/>
              </w:rPr>
              <w:t xml:space="preserve">Requisitos de seguridad </w:t>
            </w:r>
          </w:p>
        </w:tc>
      </w:tr>
      <w:tr w:rsidR="0076001D">
        <w:trPr>
          <w:trHeight w:val="5719"/>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4"/>
              </w:rPr>
              <w:lastRenderedPageBreak/>
              <w:t xml:space="preserve">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39"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3"/>
              </w:rPr>
              <w:t xml:space="preserve"> </w:t>
            </w:r>
          </w:p>
          <w:p w:rsidR="0076001D" w:rsidRDefault="0034129A">
            <w:pPr>
              <w:spacing w:after="0" w:line="259" w:lineRule="auto"/>
              <w:ind w:left="71" w:firstLine="0"/>
            </w:pPr>
            <w:r>
              <w:rPr>
                <w:sz w:val="16"/>
              </w:rPr>
              <w:t xml:space="preserve">CORPORA </w:t>
            </w:r>
          </w:p>
          <w:p w:rsidR="0076001D" w:rsidRDefault="0034129A">
            <w:pPr>
              <w:spacing w:after="0" w:line="259" w:lineRule="auto"/>
              <w:ind w:left="71" w:firstLine="0"/>
              <w:jc w:val="left"/>
            </w:pPr>
            <w:r>
              <w:rPr>
                <w:sz w:val="16"/>
              </w:rPr>
              <w:t xml:space="preserve">CIÓN RED </w:t>
            </w:r>
          </w:p>
          <w:p w:rsidR="0076001D" w:rsidRDefault="0034129A">
            <w:pPr>
              <w:spacing w:after="0" w:line="259" w:lineRule="auto"/>
              <w:ind w:left="71" w:firstLine="0"/>
            </w:pPr>
            <w:r>
              <w:rPr>
                <w:sz w:val="16"/>
              </w:rPr>
              <w:t xml:space="preserve">NACIONAL </w:t>
            </w:r>
          </w:p>
          <w:p w:rsidR="0076001D" w:rsidRDefault="0034129A">
            <w:pPr>
              <w:spacing w:after="0" w:line="259" w:lineRule="auto"/>
              <w:ind w:left="71" w:firstLine="0"/>
            </w:pPr>
            <w:r>
              <w:rPr>
                <w:sz w:val="16"/>
              </w:rPr>
              <w:t xml:space="preserve">ACADÉMIC </w:t>
            </w:r>
          </w:p>
          <w:p w:rsidR="0076001D" w:rsidRDefault="0034129A">
            <w:pPr>
              <w:spacing w:after="0" w:line="259" w:lineRule="auto"/>
              <w:ind w:left="71" w:firstLine="0"/>
              <w:jc w:val="left"/>
            </w:pPr>
            <w:r>
              <w:rPr>
                <w:sz w:val="16"/>
              </w:rPr>
              <w:t xml:space="preserve">A DE </w:t>
            </w:r>
          </w:p>
          <w:p w:rsidR="0076001D" w:rsidRDefault="0034129A">
            <w:pPr>
              <w:spacing w:after="0" w:line="259" w:lineRule="auto"/>
              <w:ind w:left="71" w:firstLine="0"/>
            </w:pPr>
            <w:r>
              <w:rPr>
                <w:sz w:val="16"/>
              </w:rPr>
              <w:t xml:space="preserve">TECNOLO </w:t>
            </w:r>
          </w:p>
          <w:p w:rsidR="0076001D" w:rsidRDefault="0034129A">
            <w:pPr>
              <w:spacing w:after="0" w:line="259" w:lineRule="auto"/>
              <w:ind w:left="71" w:firstLine="0"/>
              <w:jc w:val="left"/>
            </w:pPr>
            <w:r>
              <w:rPr>
                <w:sz w:val="16"/>
              </w:rPr>
              <w:t xml:space="preserve">GÍA </w:t>
            </w:r>
          </w:p>
          <w:p w:rsidR="0076001D" w:rsidRDefault="0034129A">
            <w:pPr>
              <w:spacing w:after="0" w:line="259" w:lineRule="auto"/>
              <w:ind w:left="71" w:firstLine="0"/>
              <w:jc w:val="left"/>
            </w:pPr>
            <w:r>
              <w:rPr>
                <w:sz w:val="16"/>
              </w:rPr>
              <w:t xml:space="preserve">AVANZAD </w:t>
            </w:r>
          </w:p>
          <w:p w:rsidR="0076001D" w:rsidRDefault="0034129A">
            <w:pPr>
              <w:spacing w:after="0" w:line="259" w:lineRule="auto"/>
              <w:ind w:left="71" w:firstLine="0"/>
              <w:jc w:val="left"/>
            </w:pPr>
            <w:r>
              <w:rPr>
                <w:sz w:val="16"/>
              </w:rPr>
              <w:t xml:space="preserve">A – </w:t>
            </w:r>
          </w:p>
          <w:p w:rsidR="0076001D" w:rsidRDefault="0034129A">
            <w:pPr>
              <w:spacing w:after="0" w:line="259" w:lineRule="auto"/>
              <w:ind w:left="71" w:firstLine="0"/>
              <w:jc w:val="left"/>
            </w:pPr>
            <w:r>
              <w:rPr>
                <w:sz w:val="16"/>
              </w:rPr>
              <w:t xml:space="preserve">RENATA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6"/>
              </w:rPr>
              <w:t xml:space="preserve">“Afiliar al </w:t>
            </w:r>
          </w:p>
          <w:p w:rsidR="0076001D" w:rsidRDefault="0034129A">
            <w:pPr>
              <w:spacing w:after="0" w:line="240" w:lineRule="auto"/>
              <w:ind w:left="70" w:firstLine="0"/>
              <w:jc w:val="left"/>
            </w:pPr>
            <w:r>
              <w:rPr>
                <w:sz w:val="16"/>
              </w:rPr>
              <w:t xml:space="preserve">Instituto para la </w:t>
            </w:r>
          </w:p>
          <w:p w:rsidR="0076001D" w:rsidRDefault="0034129A">
            <w:pPr>
              <w:spacing w:after="0" w:line="259" w:lineRule="auto"/>
              <w:ind w:left="70" w:firstLine="0"/>
              <w:jc w:val="left"/>
            </w:pPr>
            <w:r>
              <w:rPr>
                <w:sz w:val="16"/>
              </w:rPr>
              <w:t xml:space="preserve">Investigación </w:t>
            </w:r>
          </w:p>
          <w:p w:rsidR="0076001D" w:rsidRDefault="0034129A">
            <w:pPr>
              <w:spacing w:after="0" w:line="259" w:lineRule="auto"/>
              <w:ind w:left="70" w:firstLine="0"/>
              <w:jc w:val="left"/>
            </w:pPr>
            <w:r>
              <w:rPr>
                <w:sz w:val="16"/>
              </w:rPr>
              <w:t xml:space="preserve">Educativa y el </w:t>
            </w:r>
          </w:p>
          <w:p w:rsidR="0076001D" w:rsidRDefault="0034129A">
            <w:pPr>
              <w:spacing w:after="0" w:line="259" w:lineRule="auto"/>
              <w:ind w:left="70" w:firstLine="0"/>
              <w:jc w:val="left"/>
            </w:pPr>
            <w:r>
              <w:rPr>
                <w:sz w:val="16"/>
              </w:rPr>
              <w:t xml:space="preserve">Desarrollo </w:t>
            </w:r>
          </w:p>
          <w:p w:rsidR="0076001D" w:rsidRDefault="0034129A">
            <w:pPr>
              <w:spacing w:after="2" w:line="237" w:lineRule="auto"/>
              <w:ind w:left="70" w:firstLine="0"/>
              <w:jc w:val="left"/>
            </w:pPr>
            <w:r>
              <w:rPr>
                <w:sz w:val="16"/>
              </w:rPr>
              <w:t xml:space="preserve">Pedagógico - IDEP a la </w:t>
            </w:r>
          </w:p>
          <w:p w:rsidR="0076001D" w:rsidRDefault="0034129A">
            <w:pPr>
              <w:spacing w:after="0" w:line="259" w:lineRule="auto"/>
              <w:ind w:left="70" w:firstLine="0"/>
              <w:jc w:val="left"/>
            </w:pPr>
            <w:r>
              <w:rPr>
                <w:sz w:val="16"/>
              </w:rPr>
              <w:t xml:space="preserve">Red </w:t>
            </w:r>
          </w:p>
          <w:p w:rsidR="0076001D" w:rsidRDefault="0034129A">
            <w:pPr>
              <w:spacing w:after="1" w:line="238" w:lineRule="auto"/>
              <w:ind w:left="70" w:right="28" w:firstLine="0"/>
              <w:jc w:val="left"/>
            </w:pPr>
            <w:r>
              <w:rPr>
                <w:sz w:val="16"/>
              </w:rPr>
              <w:t xml:space="preserve">Nacional Académica de </w:t>
            </w:r>
          </w:p>
          <w:p w:rsidR="0076001D" w:rsidRDefault="0034129A">
            <w:pPr>
              <w:spacing w:after="0" w:line="259" w:lineRule="auto"/>
              <w:ind w:left="70" w:firstLine="0"/>
              <w:jc w:val="left"/>
            </w:pPr>
            <w:r>
              <w:rPr>
                <w:sz w:val="16"/>
              </w:rPr>
              <w:t xml:space="preserve">Tecnología </w:t>
            </w:r>
          </w:p>
          <w:p w:rsidR="0076001D" w:rsidRDefault="0034129A">
            <w:pPr>
              <w:spacing w:after="0" w:line="240" w:lineRule="auto"/>
              <w:ind w:left="70" w:firstLine="0"/>
            </w:pPr>
            <w:r>
              <w:rPr>
                <w:sz w:val="16"/>
              </w:rPr>
              <w:t xml:space="preserve">Avanzada – RENATA y </w:t>
            </w:r>
          </w:p>
          <w:p w:rsidR="0076001D" w:rsidRDefault="0034129A">
            <w:pPr>
              <w:spacing w:after="1" w:line="238" w:lineRule="auto"/>
              <w:ind w:left="70" w:firstLine="0"/>
              <w:jc w:val="left"/>
            </w:pPr>
            <w:r>
              <w:rPr>
                <w:sz w:val="16"/>
              </w:rPr>
              <w:t xml:space="preserve">contar con los servicios de conectividad </w:t>
            </w:r>
          </w:p>
          <w:p w:rsidR="0076001D" w:rsidRDefault="0034129A">
            <w:pPr>
              <w:spacing w:after="0" w:line="259" w:lineRule="auto"/>
              <w:ind w:left="70" w:firstLine="0"/>
              <w:jc w:val="left"/>
            </w:pPr>
            <w:r>
              <w:rPr>
                <w:sz w:val="16"/>
              </w:rPr>
              <w:t xml:space="preserve">a la </w:t>
            </w:r>
          </w:p>
          <w:p w:rsidR="0076001D" w:rsidRDefault="0034129A">
            <w:pPr>
              <w:spacing w:after="0" w:line="259" w:lineRule="auto"/>
              <w:ind w:left="70" w:firstLine="0"/>
              <w:jc w:val="left"/>
            </w:pPr>
            <w:r>
              <w:rPr>
                <w:sz w:val="16"/>
              </w:rPr>
              <w:t xml:space="preserve">comunidad </w:t>
            </w:r>
          </w:p>
          <w:p w:rsidR="0076001D" w:rsidRDefault="0034129A">
            <w:pPr>
              <w:spacing w:after="0" w:line="239" w:lineRule="auto"/>
              <w:ind w:left="70" w:firstLine="0"/>
              <w:jc w:val="left"/>
            </w:pPr>
            <w:r>
              <w:rPr>
                <w:sz w:val="16"/>
              </w:rPr>
              <w:t xml:space="preserve">científica y de tecnología avanzada y la conectividad </w:t>
            </w:r>
          </w:p>
          <w:p w:rsidR="0076001D" w:rsidRDefault="0034129A">
            <w:pPr>
              <w:spacing w:after="0" w:line="259" w:lineRule="auto"/>
              <w:ind w:left="70" w:firstLine="0"/>
              <w:jc w:val="left"/>
            </w:pPr>
            <w:r>
              <w:rPr>
                <w:sz w:val="16"/>
              </w:rPr>
              <w:t xml:space="preserve">avanzada </w:t>
            </w:r>
          </w:p>
          <w:p w:rsidR="0076001D" w:rsidRDefault="0034129A">
            <w:pPr>
              <w:spacing w:after="28" w:line="239" w:lineRule="auto"/>
              <w:ind w:left="70" w:firstLine="0"/>
              <w:jc w:val="left"/>
            </w:pPr>
            <w:r>
              <w:rPr>
                <w:sz w:val="16"/>
              </w:rPr>
              <w:t xml:space="preserve">(internet 1:1 sin </w:t>
            </w:r>
            <w:proofErr w:type="spellStart"/>
            <w:r>
              <w:rPr>
                <w:sz w:val="16"/>
              </w:rPr>
              <w:t>reuso</w:t>
            </w:r>
            <w:proofErr w:type="spellEnd"/>
            <w:r>
              <w:rPr>
                <w:sz w:val="16"/>
              </w:rPr>
              <w:t xml:space="preserve"> + atributos de redes </w:t>
            </w:r>
          </w:p>
          <w:p w:rsidR="0076001D" w:rsidRDefault="0034129A">
            <w:pPr>
              <w:spacing w:after="0" w:line="259" w:lineRule="auto"/>
              <w:ind w:left="70" w:firstLine="0"/>
            </w:pPr>
            <w:r>
              <w:rPr>
                <w:sz w:val="16"/>
              </w:rPr>
              <w:t xml:space="preserve">académicas)” </w:t>
            </w:r>
          </w:p>
          <w:p w:rsidR="0076001D" w:rsidRDefault="0034129A">
            <w:pPr>
              <w:spacing w:after="0" w:line="259" w:lineRule="auto"/>
              <w:ind w:left="70"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6"/>
              </w:rPr>
              <w:t xml:space="preserve"> </w:t>
            </w:r>
          </w:p>
          <w:p w:rsidR="0076001D" w:rsidRDefault="0034129A">
            <w:pPr>
              <w:spacing w:after="0" w:line="259" w:lineRule="auto"/>
              <w:ind w:left="68" w:firstLine="46"/>
              <w:jc w:val="left"/>
            </w:pPr>
            <w:r>
              <w:rPr>
                <w:sz w:val="16"/>
              </w:rPr>
              <w:t xml:space="preserve">Vigente desde el 29 mayo de 2020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36"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3"/>
              </w:rPr>
              <w:t xml:space="preserve"> </w:t>
            </w:r>
          </w:p>
          <w:p w:rsidR="0076001D" w:rsidRDefault="0034129A">
            <w:pPr>
              <w:spacing w:after="0" w:line="259" w:lineRule="auto"/>
              <w:ind w:left="71" w:firstLine="0"/>
              <w:jc w:val="left"/>
            </w:pPr>
            <w:r>
              <w:rPr>
                <w:sz w:val="16"/>
              </w:rPr>
              <w:t xml:space="preserve">Si, según los estudios previos.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01"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4" w:right="36" w:firstLine="0"/>
              <w:jc w:val="left"/>
            </w:pPr>
            <w:r>
              <w:rPr>
                <w:sz w:val="16"/>
              </w:rPr>
              <w:t xml:space="preserve">Según los estudios previos hay la disponibilidad es 7x24 y están establecidos los acuerdos de niveles de servicio.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58"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6"/>
              </w:rPr>
              <w:t xml:space="preserve"> </w:t>
            </w:r>
          </w:p>
          <w:p w:rsidR="0076001D" w:rsidRDefault="0034129A">
            <w:pPr>
              <w:spacing w:after="0" w:line="259" w:lineRule="auto"/>
              <w:ind w:left="66" w:firstLine="0"/>
              <w:jc w:val="left"/>
            </w:pPr>
            <w:r>
              <w:rPr>
                <w:sz w:val="16"/>
              </w:rPr>
              <w:t xml:space="preserve">Existe evidencia de la capacitación dada por el contratista.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8"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rPr>
              <w:t xml:space="preserve"> </w:t>
            </w:r>
          </w:p>
          <w:p w:rsidR="0076001D" w:rsidRDefault="0034129A">
            <w:pPr>
              <w:spacing w:after="1" w:line="239" w:lineRule="auto"/>
              <w:ind w:left="66" w:firstLine="0"/>
              <w:jc w:val="left"/>
            </w:pPr>
            <w:r>
              <w:rPr>
                <w:sz w:val="16"/>
              </w:rPr>
              <w:t xml:space="preserve">Los estudios de mercado RENATA del 12/02/2019 señalan que "... es indispensable contar con servicios y herramientas tecnológicas </w:t>
            </w:r>
          </w:p>
          <w:p w:rsidR="0076001D" w:rsidRDefault="0034129A">
            <w:pPr>
              <w:spacing w:after="0" w:line="259" w:lineRule="auto"/>
              <w:ind w:left="66" w:right="24" w:firstLine="0"/>
              <w:jc w:val="left"/>
            </w:pPr>
            <w:proofErr w:type="gramStart"/>
            <w:r>
              <w:rPr>
                <w:sz w:val="16"/>
              </w:rPr>
              <w:t>que</w:t>
            </w:r>
            <w:proofErr w:type="gramEnd"/>
            <w:r>
              <w:rPr>
                <w:sz w:val="16"/>
              </w:rPr>
              <w:t xml:space="preserve"> provean servicios de conectividad avanzada a través de una plataforma WEB que cuente con interacción de manera remota en tiempo real con atributos de seguridad y velocidad de la red avanzada y que permita el acceso a los servicios desde cualquier lugar del mundo. </w:t>
            </w:r>
          </w:p>
        </w:tc>
      </w:tr>
    </w:tbl>
    <w:p w:rsidR="0076001D" w:rsidRDefault="0076001D">
      <w:pPr>
        <w:spacing w:after="0" w:line="259" w:lineRule="auto"/>
        <w:ind w:left="-1440" w:right="14400" w:firstLine="0"/>
        <w:jc w:val="left"/>
      </w:pPr>
    </w:p>
    <w:tbl>
      <w:tblPr>
        <w:tblStyle w:val="TableGrid"/>
        <w:tblW w:w="13903" w:type="dxa"/>
        <w:tblInd w:w="-155" w:type="dxa"/>
        <w:tblCellMar>
          <w:top w:w="4" w:type="dxa"/>
          <w:left w:w="4" w:type="dxa"/>
          <w:right w:w="21" w:type="dxa"/>
        </w:tblCellMar>
        <w:tblLook w:val="04A0" w:firstRow="1" w:lastRow="0" w:firstColumn="1" w:lastColumn="0" w:noHBand="0" w:noVBand="1"/>
      </w:tblPr>
      <w:tblGrid>
        <w:gridCol w:w="565"/>
        <w:gridCol w:w="995"/>
        <w:gridCol w:w="1136"/>
        <w:gridCol w:w="2127"/>
        <w:gridCol w:w="2557"/>
        <w:gridCol w:w="1699"/>
        <w:gridCol w:w="2554"/>
        <w:gridCol w:w="2270"/>
      </w:tblGrid>
      <w:tr w:rsidR="0076001D">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7" w:firstLine="0"/>
              <w:jc w:val="center"/>
            </w:pPr>
            <w:r>
              <w:rPr>
                <w:b/>
                <w:sz w:val="16"/>
              </w:rPr>
              <w:t xml:space="preserve">N° </w:t>
            </w:r>
          </w:p>
          <w:p w:rsidR="0076001D" w:rsidRDefault="0034129A">
            <w:pPr>
              <w:spacing w:after="0" w:line="259" w:lineRule="auto"/>
              <w:ind w:left="0" w:firstLine="0"/>
              <w:jc w:val="center"/>
            </w:pPr>
            <w:proofErr w:type="spellStart"/>
            <w:r>
              <w:rPr>
                <w:b/>
                <w:sz w:val="16"/>
              </w:rPr>
              <w:t>Contr</w:t>
            </w:r>
            <w:proofErr w:type="spellEnd"/>
            <w:r>
              <w:rPr>
                <w:b/>
                <w:sz w:val="16"/>
              </w:rPr>
              <w:t xml:space="preserve"> ato </w:t>
            </w:r>
          </w:p>
        </w:tc>
        <w:tc>
          <w:tcPr>
            <w:tcW w:w="995"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0" w:firstLine="0"/>
              <w:jc w:val="center"/>
            </w:pPr>
            <w:r>
              <w:rPr>
                <w:b/>
                <w:sz w:val="16"/>
              </w:rPr>
              <w:t xml:space="preserve">Nombre Tercero </w:t>
            </w:r>
          </w:p>
        </w:tc>
        <w:tc>
          <w:tcPr>
            <w:tcW w:w="1136"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2" w:firstLine="0"/>
              <w:jc w:val="left"/>
            </w:pPr>
            <w:r>
              <w:rPr>
                <w:rFonts w:ascii="Times New Roman" w:eastAsia="Times New Roman" w:hAnsi="Times New Roman" w:cs="Times New Roman"/>
                <w:sz w:val="15"/>
              </w:rPr>
              <w:t xml:space="preserve"> </w:t>
            </w:r>
          </w:p>
          <w:p w:rsidR="0076001D" w:rsidRDefault="0034129A">
            <w:pPr>
              <w:spacing w:after="0" w:line="259" w:lineRule="auto"/>
              <w:ind w:left="23" w:firstLine="0"/>
              <w:jc w:val="center"/>
            </w:pPr>
            <w:r>
              <w:rPr>
                <w:b/>
                <w:sz w:val="16"/>
              </w:rPr>
              <w:t xml:space="preserve">OBJETO </w:t>
            </w:r>
          </w:p>
        </w:tc>
        <w:tc>
          <w:tcPr>
            <w:tcW w:w="212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14" w:firstLine="0"/>
              <w:jc w:val="left"/>
            </w:pPr>
            <w:r>
              <w:rPr>
                <w:b/>
                <w:sz w:val="16"/>
              </w:rPr>
              <w:t xml:space="preserve">Observaciones Auditoría </w:t>
            </w:r>
          </w:p>
        </w:tc>
        <w:tc>
          <w:tcPr>
            <w:tcW w:w="2557"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6" w:firstLine="0"/>
              <w:jc w:val="center"/>
            </w:pPr>
            <w:r>
              <w:rPr>
                <w:b/>
                <w:sz w:val="16"/>
              </w:rPr>
              <w:t xml:space="preserve">Acuerdo Confidencialidad </w:t>
            </w:r>
          </w:p>
        </w:tc>
        <w:tc>
          <w:tcPr>
            <w:tcW w:w="1699"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9" w:firstLine="0"/>
              <w:jc w:val="center"/>
            </w:pPr>
            <w:r>
              <w:rPr>
                <w:b/>
                <w:sz w:val="16"/>
              </w:rPr>
              <w:t xml:space="preserve">ANS </w:t>
            </w:r>
          </w:p>
        </w:tc>
        <w:tc>
          <w:tcPr>
            <w:tcW w:w="2554"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38" w:firstLine="0"/>
              <w:jc w:val="left"/>
            </w:pPr>
            <w:r>
              <w:rPr>
                <w:b/>
                <w:sz w:val="16"/>
              </w:rPr>
              <w:t xml:space="preserve">Trasferencia de conocimiento </w:t>
            </w:r>
          </w:p>
        </w:tc>
        <w:tc>
          <w:tcPr>
            <w:tcW w:w="2270" w:type="dxa"/>
            <w:tcBorders>
              <w:top w:val="single" w:sz="4" w:space="0" w:color="000000"/>
              <w:left w:val="single" w:sz="4" w:space="0" w:color="000000"/>
              <w:bottom w:val="single" w:sz="4" w:space="0" w:color="000000"/>
              <w:right w:val="single" w:sz="4" w:space="0" w:color="000000"/>
            </w:tcBorders>
            <w:shd w:val="clear" w:color="auto" w:fill="A3C2F4"/>
          </w:tcPr>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10" w:firstLine="0"/>
              <w:jc w:val="center"/>
            </w:pPr>
            <w:r>
              <w:rPr>
                <w:b/>
                <w:sz w:val="16"/>
              </w:rPr>
              <w:t xml:space="preserve">Requisitos de seguridad </w:t>
            </w:r>
          </w:p>
        </w:tc>
      </w:tr>
      <w:tr w:rsidR="0076001D">
        <w:trPr>
          <w:trHeight w:val="2591"/>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lastRenderedPageBreak/>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39"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24"/>
              </w:rPr>
              <w:t xml:space="preserve"> </w:t>
            </w:r>
          </w:p>
          <w:p w:rsidR="0076001D" w:rsidRDefault="0034129A">
            <w:pPr>
              <w:spacing w:after="0" w:line="259" w:lineRule="auto"/>
              <w:ind w:left="0" w:firstLine="0"/>
              <w:jc w:val="center"/>
            </w:pPr>
            <w:r>
              <w:rPr>
                <w:sz w:val="16"/>
              </w:rPr>
              <w:t xml:space="preserve">50- 2020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39"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71" w:firstLine="0"/>
              <w:jc w:val="left"/>
            </w:pPr>
            <w:r>
              <w:rPr>
                <w:sz w:val="16"/>
              </w:rPr>
              <w:t xml:space="preserve">GOOBI </w:t>
            </w:r>
          </w:p>
          <w:p w:rsidR="0076001D" w:rsidRDefault="0034129A">
            <w:pPr>
              <w:spacing w:after="0" w:line="259" w:lineRule="auto"/>
              <w:ind w:left="71" w:firstLine="0"/>
              <w:jc w:val="left"/>
            </w:pPr>
            <w:r>
              <w:rPr>
                <w:sz w:val="16"/>
              </w:rPr>
              <w:t xml:space="preserve">SAS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39" w:lineRule="auto"/>
              <w:ind w:left="70" w:right="26" w:firstLine="0"/>
              <w:jc w:val="left"/>
            </w:pPr>
            <w:r>
              <w:rPr>
                <w:sz w:val="16"/>
              </w:rPr>
              <w:t xml:space="preserve">Prestación de servicios de actualización, </w:t>
            </w:r>
            <w:proofErr w:type="spellStart"/>
            <w:r>
              <w:rPr>
                <w:sz w:val="16"/>
              </w:rPr>
              <w:t>mantenimient</w:t>
            </w:r>
            <w:proofErr w:type="spellEnd"/>
            <w:r>
              <w:rPr>
                <w:sz w:val="16"/>
              </w:rPr>
              <w:t xml:space="preserve"> o y soporte del sistema de información que soporta la gestión administrativa </w:t>
            </w:r>
          </w:p>
          <w:p w:rsidR="0076001D" w:rsidRDefault="0034129A">
            <w:pPr>
              <w:spacing w:after="0" w:line="259" w:lineRule="auto"/>
              <w:ind w:left="70" w:firstLine="0"/>
              <w:jc w:val="left"/>
            </w:pPr>
            <w:r>
              <w:rPr>
                <w:sz w:val="16"/>
              </w:rPr>
              <w:t xml:space="preserve">y </w:t>
            </w:r>
          </w:p>
          <w:p w:rsidR="0076001D" w:rsidRDefault="0034129A">
            <w:pPr>
              <w:spacing w:after="0" w:line="259" w:lineRule="auto"/>
              <w:ind w:left="70" w:firstLine="0"/>
              <w:jc w:val="left"/>
            </w:pPr>
            <w:r>
              <w:rPr>
                <w:sz w:val="16"/>
              </w:rPr>
              <w:t xml:space="preserve">financiera del </w:t>
            </w:r>
          </w:p>
          <w:p w:rsidR="0076001D" w:rsidRDefault="0034129A">
            <w:pPr>
              <w:spacing w:after="0" w:line="259" w:lineRule="auto"/>
              <w:ind w:left="70" w:firstLine="0"/>
              <w:jc w:val="left"/>
            </w:pPr>
            <w:r>
              <w:rPr>
                <w:sz w:val="16"/>
              </w:rPr>
              <w:t xml:space="preserve">IDEP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39"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68" w:firstLine="46"/>
              <w:jc w:val="left"/>
            </w:pPr>
            <w:r>
              <w:rPr>
                <w:sz w:val="16"/>
              </w:rPr>
              <w:t xml:space="preserve">Vigente desde el 1 de julio de 2020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77"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8" w:right="60" w:firstLine="0"/>
              <w:jc w:val="left"/>
            </w:pPr>
            <w:r>
              <w:rPr>
                <w:sz w:val="16"/>
              </w:rPr>
              <w:t xml:space="preserve">Con base en el ítem 9 del informe de avance del 13 de agosto del 2020, el contratista llevó a cabo la formalización del acuerdo de confidencialidad con el IDEP.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4" w:firstLine="0"/>
              <w:jc w:val="left"/>
            </w:pPr>
            <w:r>
              <w:rPr>
                <w:sz w:val="16"/>
              </w:rPr>
              <w:t xml:space="preserve">Según la propuesta del 25 de junio de 2020, numeral 2.5 establece los niveles de soporte.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66" w:right="150" w:firstLine="46"/>
              <w:jc w:val="left"/>
            </w:pPr>
            <w:r>
              <w:rPr>
                <w:sz w:val="16"/>
              </w:rPr>
              <w:t xml:space="preserve">Obligación 6. Proporcionar la actualización y …Cada actualización del software debe incluir el servicio de instalación, revisión de procedimientos, migración, asistencia de configuración, capacitación a los usuarios finales sobre los cambios en el aplicativo y actualización de la documentación asociada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66" w:right="18" w:firstLine="0"/>
              <w:jc w:val="left"/>
            </w:pPr>
            <w:r>
              <w:rPr>
                <w:sz w:val="16"/>
              </w:rPr>
              <w:t xml:space="preserve">Obligación 14. Dar cumplimiento a las políticas de seguridad de los activos de información y el uso adecuado del internet y del correo electrónico que fije la entidad en cualquier sentido. </w:t>
            </w:r>
          </w:p>
        </w:tc>
      </w:tr>
      <w:tr w:rsidR="0076001D">
        <w:trPr>
          <w:trHeight w:val="4059"/>
        </w:trPr>
        <w:tc>
          <w:tcPr>
            <w:tcW w:w="5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0" w:firstLine="0"/>
              <w:jc w:val="left"/>
            </w:pPr>
            <w:r>
              <w:rPr>
                <w:rFonts w:ascii="Times New Roman" w:eastAsia="Times New Roman" w:hAnsi="Times New Roman" w:cs="Times New Roman"/>
                <w:sz w:val="15"/>
              </w:rPr>
              <w:t xml:space="preserve"> </w:t>
            </w:r>
          </w:p>
          <w:p w:rsidR="0076001D" w:rsidRDefault="0034129A">
            <w:pPr>
              <w:spacing w:after="0" w:line="259" w:lineRule="auto"/>
              <w:ind w:left="70" w:firstLine="0"/>
              <w:jc w:val="left"/>
            </w:pPr>
            <w:r>
              <w:rPr>
                <w:sz w:val="16"/>
              </w:rPr>
              <w:t xml:space="preserve">53 </w:t>
            </w:r>
          </w:p>
          <w:p w:rsidR="0076001D" w:rsidRDefault="0034129A">
            <w:pPr>
              <w:spacing w:after="0" w:line="259" w:lineRule="auto"/>
              <w:ind w:left="70" w:firstLine="0"/>
              <w:jc w:val="left"/>
            </w:pPr>
            <w:r>
              <w:rPr>
                <w:sz w:val="16"/>
              </w:rPr>
              <w:t xml:space="preserve">2020 </w:t>
            </w:r>
          </w:p>
        </w:tc>
        <w:tc>
          <w:tcPr>
            <w:tcW w:w="9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8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71" w:firstLine="0"/>
              <w:jc w:val="left"/>
            </w:pPr>
            <w:r>
              <w:rPr>
                <w:sz w:val="16"/>
              </w:rPr>
              <w:t xml:space="preserve">UNIÓN </w:t>
            </w:r>
          </w:p>
          <w:p w:rsidR="0076001D" w:rsidRDefault="0034129A">
            <w:pPr>
              <w:spacing w:after="0" w:line="259" w:lineRule="auto"/>
              <w:ind w:left="71" w:firstLine="0"/>
            </w:pPr>
            <w:r>
              <w:rPr>
                <w:sz w:val="16"/>
              </w:rPr>
              <w:t xml:space="preserve">TEMPORA </w:t>
            </w:r>
          </w:p>
          <w:p w:rsidR="0076001D" w:rsidRDefault="0034129A">
            <w:pPr>
              <w:spacing w:after="0" w:line="259" w:lineRule="auto"/>
              <w:ind w:left="71" w:firstLine="0"/>
              <w:jc w:val="left"/>
            </w:pPr>
            <w:r>
              <w:rPr>
                <w:sz w:val="16"/>
              </w:rPr>
              <w:t xml:space="preserve">L UT IPV6 </w:t>
            </w:r>
          </w:p>
          <w:p w:rsidR="0076001D" w:rsidRDefault="0034129A">
            <w:pPr>
              <w:spacing w:after="0" w:line="259" w:lineRule="auto"/>
              <w:ind w:left="71" w:firstLine="0"/>
              <w:jc w:val="left"/>
            </w:pPr>
            <w:r>
              <w:rPr>
                <w:sz w:val="16"/>
              </w:rPr>
              <w:t xml:space="preserve">BG </w:t>
            </w:r>
          </w:p>
          <w:p w:rsidR="0076001D" w:rsidRDefault="0034129A">
            <w:pPr>
              <w:spacing w:after="0" w:line="259" w:lineRule="auto"/>
              <w:ind w:left="71" w:firstLine="0"/>
              <w:jc w:val="left"/>
            </w:pPr>
            <w:r>
              <w:rPr>
                <w:sz w:val="16"/>
              </w:rPr>
              <w:t xml:space="preserve">2020 </w:t>
            </w:r>
          </w:p>
        </w:tc>
        <w:tc>
          <w:tcPr>
            <w:tcW w:w="1136"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39" w:lineRule="auto"/>
              <w:ind w:left="70" w:firstLine="0"/>
              <w:jc w:val="left"/>
            </w:pPr>
            <w:r>
              <w:rPr>
                <w:sz w:val="16"/>
              </w:rPr>
              <w:t xml:space="preserve">Realizar el análisis, diseño, adopción, </w:t>
            </w:r>
            <w:proofErr w:type="spellStart"/>
            <w:r>
              <w:rPr>
                <w:sz w:val="16"/>
              </w:rPr>
              <w:t>implementaci</w:t>
            </w:r>
            <w:proofErr w:type="spellEnd"/>
            <w:r>
              <w:rPr>
                <w:sz w:val="16"/>
              </w:rPr>
              <w:t xml:space="preserve"> </w:t>
            </w:r>
          </w:p>
          <w:p w:rsidR="0076001D" w:rsidRDefault="0034129A">
            <w:pPr>
              <w:spacing w:after="1" w:line="239" w:lineRule="auto"/>
              <w:ind w:left="70" w:firstLine="0"/>
              <w:jc w:val="left"/>
            </w:pPr>
            <w:proofErr w:type="spellStart"/>
            <w:r>
              <w:rPr>
                <w:sz w:val="16"/>
              </w:rPr>
              <w:t>ón</w:t>
            </w:r>
            <w:proofErr w:type="spellEnd"/>
            <w:r>
              <w:rPr>
                <w:sz w:val="16"/>
              </w:rPr>
              <w:t xml:space="preserve"> y transferencia de conocimiento del protocolo ipv6 en coexistencia con el protocolo ipv4, para el Instituto para la </w:t>
            </w:r>
          </w:p>
          <w:p w:rsidR="0076001D" w:rsidRDefault="0034129A">
            <w:pPr>
              <w:spacing w:after="0" w:line="259" w:lineRule="auto"/>
              <w:ind w:left="70" w:firstLine="0"/>
              <w:jc w:val="left"/>
            </w:pPr>
            <w:r>
              <w:rPr>
                <w:sz w:val="16"/>
              </w:rPr>
              <w:t xml:space="preserve">Investigación </w:t>
            </w:r>
          </w:p>
          <w:p w:rsidR="0076001D" w:rsidRDefault="0034129A">
            <w:pPr>
              <w:spacing w:after="0" w:line="259" w:lineRule="auto"/>
              <w:ind w:left="70" w:firstLine="0"/>
              <w:jc w:val="left"/>
            </w:pPr>
            <w:r>
              <w:rPr>
                <w:sz w:val="16"/>
              </w:rPr>
              <w:t xml:space="preserve">Educativa y el </w:t>
            </w:r>
          </w:p>
          <w:p w:rsidR="0076001D" w:rsidRDefault="0034129A">
            <w:pPr>
              <w:spacing w:after="0" w:line="259" w:lineRule="auto"/>
              <w:ind w:left="70" w:firstLine="0"/>
              <w:jc w:val="left"/>
            </w:pPr>
            <w:r>
              <w:rPr>
                <w:sz w:val="16"/>
              </w:rPr>
              <w:t xml:space="preserve">Desarrollo Pedagógico – IDEP. </w:t>
            </w:r>
          </w:p>
        </w:tc>
        <w:tc>
          <w:tcPr>
            <w:tcW w:w="212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5"/>
              </w:rPr>
              <w:t xml:space="preserve"> </w:t>
            </w:r>
          </w:p>
          <w:p w:rsidR="0076001D" w:rsidRDefault="0034129A">
            <w:pPr>
              <w:spacing w:after="0" w:line="259" w:lineRule="auto"/>
              <w:ind w:left="68" w:firstLine="46"/>
              <w:jc w:val="left"/>
            </w:pPr>
            <w:r>
              <w:rPr>
                <w:sz w:val="16"/>
              </w:rPr>
              <w:t xml:space="preserve">Vigente hasta el 31 de diciembre de 2020 </w:t>
            </w:r>
          </w:p>
        </w:tc>
        <w:tc>
          <w:tcPr>
            <w:tcW w:w="255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56"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25"/>
              </w:rPr>
              <w:t xml:space="preserve"> </w:t>
            </w:r>
          </w:p>
          <w:p w:rsidR="0076001D" w:rsidRDefault="0034129A">
            <w:pPr>
              <w:spacing w:after="0" w:line="259" w:lineRule="auto"/>
              <w:ind w:left="68" w:firstLine="0"/>
              <w:jc w:val="left"/>
            </w:pPr>
            <w:r>
              <w:rPr>
                <w:sz w:val="16"/>
              </w:rPr>
              <w:t xml:space="preserve">Según el objeto descrito en el </w:t>
            </w:r>
          </w:p>
          <w:p w:rsidR="0076001D" w:rsidRDefault="0034129A">
            <w:pPr>
              <w:spacing w:after="0" w:line="259" w:lineRule="auto"/>
              <w:ind w:left="68" w:firstLine="0"/>
              <w:jc w:val="left"/>
            </w:pPr>
            <w:r>
              <w:rPr>
                <w:sz w:val="16"/>
              </w:rPr>
              <w:t xml:space="preserve">Anexo técnico y el numeral 8 </w:t>
            </w:r>
          </w:p>
          <w:p w:rsidR="0076001D" w:rsidRDefault="0034129A">
            <w:pPr>
              <w:spacing w:after="0" w:line="259" w:lineRule="auto"/>
              <w:ind w:left="68" w:firstLine="0"/>
              <w:jc w:val="left"/>
            </w:pPr>
            <w:r>
              <w:rPr>
                <w:sz w:val="16"/>
              </w:rPr>
              <w:t xml:space="preserve">Obligaciones contractuales </w:t>
            </w:r>
          </w:p>
        </w:tc>
        <w:tc>
          <w:tcPr>
            <w:tcW w:w="169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4" w:right="54" w:firstLine="0"/>
              <w:jc w:val="left"/>
            </w:pPr>
            <w:r>
              <w:rPr>
                <w:sz w:val="16"/>
              </w:rPr>
              <w:t xml:space="preserve">Según el objeto descrito en el Anexo técnico y el numeral 8 Obligaciones contractuales Debe garantizar un nivel de servicio siete (7) días a la semana, veinticuatro (24) horas al día durante la vigencia del contrato, con tiempos de respuesta no superior a dos (2) horas en caso de incidentes relacionados con la implementación del protocolo IPv6 o las configuraciones en Dual </w:t>
            </w:r>
            <w:proofErr w:type="spellStart"/>
            <w:r>
              <w:rPr>
                <w:sz w:val="16"/>
              </w:rPr>
              <w:t>Stack</w:t>
            </w:r>
            <w:proofErr w:type="spellEnd"/>
            <w:r>
              <w:rPr>
                <w:sz w:val="16"/>
              </w:rPr>
              <w:t xml:space="preserve">. </w:t>
            </w:r>
          </w:p>
        </w:tc>
        <w:tc>
          <w:tcPr>
            <w:tcW w:w="25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23"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6" w:firstLine="0"/>
              <w:jc w:val="left"/>
            </w:pPr>
            <w:r>
              <w:rPr>
                <w:sz w:val="16"/>
              </w:rPr>
              <w:t xml:space="preserve">En el objeto del contrato </w:t>
            </w:r>
          </w:p>
          <w:p w:rsidR="0076001D" w:rsidRDefault="0034129A">
            <w:pPr>
              <w:spacing w:after="0" w:line="259" w:lineRule="auto"/>
              <w:ind w:left="66" w:right="16" w:firstLine="0"/>
              <w:jc w:val="left"/>
            </w:pPr>
            <w:r>
              <w:rPr>
                <w:sz w:val="16"/>
              </w:rPr>
              <w:t xml:space="preserve">Realizar el análisis, diseño, adopción, implementación y transferencia de conocimiento del protocolo ipv6 en coexistencia con el protocolo ipv4, para el Instituto para la Investigación Educativa y el Desarrollo Pedagógico – IDEP. </w:t>
            </w:r>
          </w:p>
        </w:tc>
        <w:tc>
          <w:tcPr>
            <w:tcW w:w="22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101"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66" w:right="83" w:firstLine="43"/>
            </w:pPr>
            <w:r>
              <w:rPr>
                <w:sz w:val="16"/>
              </w:rPr>
              <w:t xml:space="preserve">Según el objeto descrito en el Anexo técnico y el numeral 2.1 Plan para la Dirección del desarrollo del proyecto. El tipo de servicio incluye todas las condiciones de seguridad. </w:t>
            </w:r>
          </w:p>
        </w:tc>
      </w:tr>
    </w:tbl>
    <w:p w:rsidR="0076001D" w:rsidRDefault="0076001D">
      <w:pPr>
        <w:sectPr w:rsidR="0076001D">
          <w:headerReference w:type="even" r:id="rId93"/>
          <w:headerReference w:type="default" r:id="rId94"/>
          <w:footerReference w:type="even" r:id="rId95"/>
          <w:footerReference w:type="default" r:id="rId96"/>
          <w:headerReference w:type="first" r:id="rId97"/>
          <w:footerReference w:type="first" r:id="rId98"/>
          <w:pgSz w:w="15840" w:h="12240" w:orient="landscape"/>
          <w:pgMar w:top="1440" w:right="1440" w:bottom="1440" w:left="1440" w:header="540" w:footer="390" w:gutter="0"/>
          <w:cols w:space="720"/>
        </w:sectPr>
      </w:pPr>
    </w:p>
    <w:p w:rsidR="0076001D" w:rsidRDefault="0034129A">
      <w:pPr>
        <w:spacing w:after="0" w:line="259" w:lineRule="auto"/>
        <w:ind w:left="0" w:firstLine="0"/>
        <w:jc w:val="left"/>
      </w:pPr>
      <w:r>
        <w:rPr>
          <w:rFonts w:ascii="Times New Roman" w:eastAsia="Times New Roman" w:hAnsi="Times New Roman" w:cs="Times New Roman"/>
          <w:sz w:val="27"/>
        </w:rPr>
        <w:lastRenderedPageBreak/>
        <w:t xml:space="preserve"> </w:t>
      </w:r>
    </w:p>
    <w:p w:rsidR="0076001D" w:rsidRDefault="0034129A">
      <w:pPr>
        <w:spacing w:after="0" w:line="259" w:lineRule="auto"/>
        <w:ind w:left="542" w:firstLine="0"/>
        <w:jc w:val="left"/>
      </w:pPr>
      <w:r>
        <w:rPr>
          <w:noProof/>
          <w:lang w:val="es-ES" w:eastAsia="es-ES"/>
        </w:rPr>
        <w:drawing>
          <wp:inline distT="0" distB="0" distL="0" distR="0">
            <wp:extent cx="227546" cy="136525"/>
            <wp:effectExtent l="0" t="0" r="0" b="0"/>
            <wp:docPr id="7313" name="Picture 7313"/>
            <wp:cNvGraphicFramePr/>
            <a:graphic xmlns:a="http://schemas.openxmlformats.org/drawingml/2006/main">
              <a:graphicData uri="http://schemas.openxmlformats.org/drawingml/2006/picture">
                <pic:pic xmlns:pic="http://schemas.openxmlformats.org/drawingml/2006/picture">
                  <pic:nvPicPr>
                    <pic:cNvPr id="7313" name="Picture 7313"/>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ind w:left="545" w:firstLine="348"/>
      </w:pPr>
      <w:r>
        <w:t>En cuanto al control y seguimiento a contratos, se observa que, si bien se registra la ejecución contractual con respecto al Plan de Adquisiciones, no se cuenta con un tablero centralizado de control de contratos vigentes que permita hacer seguimiento técnico a su ejecución de pagos y cumplimiento en términos de calidad, tiempos y acuerdos de niveles de servicio. Se elaboró durante la auditoría el documento “</w:t>
      </w:r>
      <w:r>
        <w:rPr>
          <w:i/>
        </w:rPr>
        <w:t>Contratos en ejecución Sistemas.xlsx”</w:t>
      </w:r>
      <w:r>
        <w:t xml:space="preserve">, el cual contiene un listado de contratos vigentes con algunas columnas de caracterización, pero no es claro en cuanto a finalización del servicio, supervisor responsable, enlace </w:t>
      </w:r>
      <w:proofErr w:type="spellStart"/>
      <w:r>
        <w:t>Secop</w:t>
      </w:r>
      <w:proofErr w:type="spellEnd"/>
      <w:r>
        <w:t xml:space="preserve"> y porcentajes de ejecución física y financiera. De igual manera se observa que las pestañas de seguimiento a los pagos solo se diligencian para los proyectos </w:t>
      </w:r>
      <w:proofErr w:type="spellStart"/>
      <w:r>
        <w:t>Goobi</w:t>
      </w:r>
      <w:proofErr w:type="spellEnd"/>
      <w:r>
        <w:t xml:space="preserve"> y Humano a cargo de la contratista Julieth </w:t>
      </w:r>
      <w:proofErr w:type="spellStart"/>
      <w:r>
        <w:t>Yaver</w:t>
      </w:r>
      <w:proofErr w:type="spellEnd"/>
      <w:r>
        <w:t xml:space="preserve">, pero no se aplica de manera estándar para los demás contratos y solo incluye la relación de pagos, mas no el cumplimiento de criterios de aceptación. </w:t>
      </w:r>
    </w:p>
    <w:tbl>
      <w:tblPr>
        <w:tblStyle w:val="TableGrid"/>
        <w:tblpPr w:vertAnchor="page" w:horzAnchor="page" w:tblpX="1323" w:tblpY="12553"/>
        <w:tblOverlap w:val="never"/>
        <w:tblW w:w="9622" w:type="dxa"/>
        <w:tblInd w:w="0" w:type="dxa"/>
        <w:tblCellMar>
          <w:top w:w="6" w:type="dxa"/>
        </w:tblCellMar>
        <w:tblLook w:val="04A0" w:firstRow="1" w:lastRow="0" w:firstColumn="1" w:lastColumn="0" w:noHBand="0" w:noVBand="1"/>
      </w:tblPr>
      <w:tblGrid>
        <w:gridCol w:w="633"/>
        <w:gridCol w:w="473"/>
        <w:gridCol w:w="5099"/>
        <w:gridCol w:w="712"/>
        <w:gridCol w:w="2705"/>
      </w:tblGrid>
      <w:tr w:rsidR="0076001D">
        <w:trPr>
          <w:trHeight w:val="259"/>
        </w:trPr>
        <w:tc>
          <w:tcPr>
            <w:tcW w:w="63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5" w:firstLine="0"/>
              <w:jc w:val="center"/>
            </w:pPr>
            <w:r>
              <w:rPr>
                <w:b/>
                <w:sz w:val="20"/>
              </w:rPr>
              <w:t xml:space="preserve">N°. </w:t>
            </w:r>
          </w:p>
        </w:tc>
        <w:tc>
          <w:tcPr>
            <w:tcW w:w="473" w:type="dxa"/>
            <w:tcBorders>
              <w:top w:val="single" w:sz="4" w:space="0" w:color="000000"/>
              <w:left w:val="single" w:sz="4" w:space="0" w:color="000000"/>
              <w:bottom w:val="single" w:sz="4" w:space="0" w:color="000000"/>
              <w:right w:val="nil"/>
            </w:tcBorders>
            <w:shd w:val="clear" w:color="auto" w:fill="D0CECE"/>
          </w:tcPr>
          <w:p w:rsidR="0076001D" w:rsidRDefault="0076001D">
            <w:pPr>
              <w:spacing w:after="160" w:line="259" w:lineRule="auto"/>
              <w:ind w:left="0" w:firstLine="0"/>
              <w:jc w:val="left"/>
            </w:pPr>
          </w:p>
        </w:tc>
        <w:tc>
          <w:tcPr>
            <w:tcW w:w="5099" w:type="dxa"/>
            <w:tcBorders>
              <w:top w:val="single" w:sz="4" w:space="0" w:color="000000"/>
              <w:left w:val="nil"/>
              <w:bottom w:val="single" w:sz="4" w:space="0" w:color="000000"/>
              <w:right w:val="single" w:sz="4" w:space="0" w:color="000000"/>
            </w:tcBorders>
            <w:shd w:val="clear" w:color="auto" w:fill="D0CECE"/>
          </w:tcPr>
          <w:p w:rsidR="0076001D" w:rsidRDefault="0034129A">
            <w:pPr>
              <w:spacing w:after="0" w:line="259" w:lineRule="auto"/>
              <w:ind w:left="1291" w:firstLine="0"/>
              <w:jc w:val="left"/>
            </w:pPr>
            <w:r>
              <w:rPr>
                <w:b/>
                <w:sz w:val="20"/>
              </w:rPr>
              <w:t xml:space="preserve">Recomendación 2019 </w:t>
            </w:r>
          </w:p>
        </w:tc>
        <w:tc>
          <w:tcPr>
            <w:tcW w:w="71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1" w:firstLine="0"/>
              <w:jc w:val="center"/>
            </w:pPr>
            <w:r>
              <w:rPr>
                <w:b/>
                <w:sz w:val="20"/>
              </w:rPr>
              <w:t xml:space="preserve">Seguimiento 2020 </w:t>
            </w:r>
          </w:p>
        </w:tc>
      </w:tr>
      <w:tr w:rsidR="0076001D">
        <w:trPr>
          <w:trHeight w:val="1405"/>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40" w:line="259" w:lineRule="auto"/>
              <w:ind w:left="5" w:firstLine="0"/>
              <w:jc w:val="left"/>
            </w:pPr>
            <w:r>
              <w:rPr>
                <w:b/>
              </w:rPr>
              <w:lastRenderedPageBreak/>
              <w:t xml:space="preserve"> </w:t>
            </w:r>
          </w:p>
          <w:p w:rsidR="0076001D" w:rsidRDefault="0034129A">
            <w:pPr>
              <w:spacing w:after="0" w:line="259" w:lineRule="auto"/>
              <w:ind w:left="5" w:firstLine="0"/>
              <w:jc w:val="left"/>
            </w:pPr>
            <w:r>
              <w:rPr>
                <w:b/>
                <w:sz w:val="28"/>
              </w:rPr>
              <w:t xml:space="preserve"> </w:t>
            </w:r>
          </w:p>
          <w:p w:rsidR="0076001D" w:rsidRDefault="0034129A">
            <w:pPr>
              <w:spacing w:after="0" w:line="259" w:lineRule="auto"/>
              <w:ind w:left="0" w:right="-9" w:firstLine="0"/>
              <w:jc w:val="right"/>
            </w:pPr>
            <w:r>
              <w:rPr>
                <w:sz w:val="20"/>
              </w:rPr>
              <w:t>1.</w:t>
            </w:r>
          </w:p>
        </w:tc>
        <w:tc>
          <w:tcPr>
            <w:tcW w:w="473" w:type="dxa"/>
            <w:tcBorders>
              <w:top w:val="single" w:sz="4" w:space="0" w:color="000000"/>
              <w:left w:val="single" w:sz="4" w:space="0" w:color="000000"/>
              <w:bottom w:val="single" w:sz="4" w:space="0" w:color="000000"/>
              <w:right w:val="nil"/>
            </w:tcBorders>
          </w:tcPr>
          <w:p w:rsidR="0076001D" w:rsidRDefault="0034129A">
            <w:pPr>
              <w:spacing w:after="0" w:line="259" w:lineRule="auto"/>
              <w:ind w:left="113" w:firstLine="0"/>
              <w:jc w:val="left"/>
            </w:pPr>
            <w:r>
              <w:rPr>
                <w:rFonts w:ascii="Segoe UI Symbol" w:eastAsia="Segoe UI Symbol" w:hAnsi="Segoe UI Symbol" w:cs="Segoe UI Symbol"/>
                <w:sz w:val="20"/>
              </w:rPr>
              <w:t>•</w:t>
            </w:r>
            <w:r>
              <w:rPr>
                <w:sz w:val="20"/>
              </w:rPr>
              <w:t xml:space="preserve"> </w:t>
            </w:r>
          </w:p>
        </w:tc>
        <w:tc>
          <w:tcPr>
            <w:tcW w:w="5099" w:type="dxa"/>
            <w:tcBorders>
              <w:top w:val="single" w:sz="4" w:space="0" w:color="000000"/>
              <w:left w:val="nil"/>
              <w:bottom w:val="single" w:sz="4" w:space="0" w:color="000000"/>
              <w:right w:val="single" w:sz="4" w:space="0" w:color="000000"/>
            </w:tcBorders>
          </w:tcPr>
          <w:p w:rsidR="0076001D" w:rsidRDefault="0034129A">
            <w:pPr>
              <w:spacing w:after="0" w:line="259" w:lineRule="auto"/>
              <w:ind w:left="0" w:right="103" w:firstLine="0"/>
            </w:pPr>
            <w:r>
              <w:rPr>
                <w:sz w:val="20"/>
              </w:rPr>
              <w:t xml:space="preserve">Adelantar una matriz de Cargos vs Funciones vs documentos, que incluya para cada cargo cuales son los conocimientos específicos que deben ser trasferidos, que documentos de procedimientos e instructivos deben incorporarse a la transferencia y el cargo de contingencia.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20"/>
              </w:rPr>
              <w:t xml:space="preserve"> </w:t>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9" w:firstLine="0"/>
            </w:pPr>
            <w:r>
              <w:rPr>
                <w:sz w:val="20"/>
              </w:rPr>
              <w:t xml:space="preserve">A la fecha no se han adelantado los planes de </w:t>
            </w:r>
          </w:p>
          <w:p w:rsidR="0076001D" w:rsidRDefault="0034129A">
            <w:pPr>
              <w:spacing w:after="1" w:line="240" w:lineRule="auto"/>
              <w:ind w:left="109" w:right="102" w:firstLine="0"/>
            </w:pPr>
            <w:r>
              <w:rPr>
                <w:sz w:val="20"/>
              </w:rPr>
              <w:t xml:space="preserve">trasferencia de conocimiento y el documento PL-GT-12-02 </w:t>
            </w:r>
          </w:p>
          <w:p w:rsidR="0076001D" w:rsidRDefault="0034129A">
            <w:pPr>
              <w:spacing w:after="0" w:line="259" w:lineRule="auto"/>
              <w:ind w:left="109" w:firstLine="0"/>
              <w:jc w:val="left"/>
            </w:pPr>
            <w:r>
              <w:rPr>
                <w:sz w:val="20"/>
              </w:rPr>
              <w:t xml:space="preserve">Plan   Contingencia   Tecno </w:t>
            </w:r>
          </w:p>
        </w:tc>
      </w:tr>
    </w:tbl>
    <w:p w:rsidR="0076001D" w:rsidRDefault="0034129A">
      <w:pPr>
        <w:spacing w:after="0" w:line="259" w:lineRule="auto"/>
        <w:ind w:left="0" w:firstLine="0"/>
        <w:jc w:val="left"/>
      </w:pPr>
      <w:r>
        <w:rPr>
          <w:noProof/>
          <w:lang w:val="es-ES" w:eastAsia="es-ES"/>
        </w:rPr>
        <w:drawing>
          <wp:anchor distT="0" distB="0" distL="114300" distR="114300" simplePos="0" relativeHeight="251663360" behindDoc="0" locked="0" layoutInCell="1" allowOverlap="0">
            <wp:simplePos x="0" y="0"/>
            <wp:positionH relativeFrom="page">
              <wp:posOffset>4893945</wp:posOffset>
            </wp:positionH>
            <wp:positionV relativeFrom="page">
              <wp:posOffset>9787253</wp:posOffset>
            </wp:positionV>
            <wp:extent cx="205105" cy="226060"/>
            <wp:effectExtent l="0" t="0" r="0" b="0"/>
            <wp:wrapTopAndBottom/>
            <wp:docPr id="7311" name="Picture 7311"/>
            <wp:cNvGraphicFramePr/>
            <a:graphic xmlns:a="http://schemas.openxmlformats.org/drawingml/2006/main">
              <a:graphicData uri="http://schemas.openxmlformats.org/drawingml/2006/picture">
                <pic:pic xmlns:pic="http://schemas.openxmlformats.org/drawingml/2006/picture">
                  <pic:nvPicPr>
                    <pic:cNvPr id="7311" name="Picture 7311"/>
                    <pic:cNvPicPr/>
                  </pic:nvPicPr>
                  <pic:blipFill>
                    <a:blip r:embed="rId99"/>
                    <a:stretch>
                      <a:fillRect/>
                    </a:stretch>
                  </pic:blipFill>
                  <pic:spPr>
                    <a:xfrm>
                      <a:off x="0" y="0"/>
                      <a:ext cx="205105" cy="226060"/>
                    </a:xfrm>
                    <a:prstGeom prst="rect">
                      <a:avLst/>
                    </a:prstGeom>
                  </pic:spPr>
                </pic:pic>
              </a:graphicData>
            </a:graphic>
          </wp:anchor>
        </w:drawing>
      </w:r>
      <w:r>
        <w:rPr>
          <w:sz w:val="17"/>
        </w:rPr>
        <w:t xml:space="preserve"> </w:t>
      </w:r>
    </w:p>
    <w:p w:rsidR="0076001D" w:rsidRDefault="0034129A">
      <w:pPr>
        <w:spacing w:after="9" w:line="259" w:lineRule="auto"/>
        <w:ind w:left="542" w:right="-80" w:firstLine="0"/>
        <w:jc w:val="left"/>
      </w:pPr>
      <w:r>
        <w:rPr>
          <w:noProof/>
          <w:lang w:val="es-ES" w:eastAsia="es-ES"/>
        </w:rPr>
        <w:drawing>
          <wp:inline distT="0" distB="0" distL="0" distR="0">
            <wp:extent cx="5851525" cy="2038096"/>
            <wp:effectExtent l="0" t="0" r="0" b="0"/>
            <wp:docPr id="7307" name="Picture 7307"/>
            <wp:cNvGraphicFramePr/>
            <a:graphic xmlns:a="http://schemas.openxmlformats.org/drawingml/2006/main">
              <a:graphicData uri="http://schemas.openxmlformats.org/drawingml/2006/picture">
                <pic:pic xmlns:pic="http://schemas.openxmlformats.org/drawingml/2006/picture">
                  <pic:nvPicPr>
                    <pic:cNvPr id="7307" name="Picture 7307"/>
                    <pic:cNvPicPr/>
                  </pic:nvPicPr>
                  <pic:blipFill>
                    <a:blip r:embed="rId100"/>
                    <a:stretch>
                      <a:fillRect/>
                    </a:stretch>
                  </pic:blipFill>
                  <pic:spPr>
                    <a:xfrm>
                      <a:off x="0" y="0"/>
                      <a:ext cx="5851525" cy="2038096"/>
                    </a:xfrm>
                    <a:prstGeom prst="rect">
                      <a:avLst/>
                    </a:prstGeom>
                  </pic:spPr>
                </pic:pic>
              </a:graphicData>
            </a:graphic>
          </wp:inline>
        </w:drawing>
      </w:r>
    </w:p>
    <w:p w:rsidR="0076001D" w:rsidRDefault="0034129A">
      <w:pPr>
        <w:spacing w:after="21" w:line="259" w:lineRule="auto"/>
        <w:ind w:left="0" w:firstLine="0"/>
        <w:jc w:val="left"/>
      </w:pPr>
      <w:r>
        <w:rPr>
          <w:sz w:val="24"/>
        </w:rPr>
        <w:t xml:space="preserve"> </w:t>
      </w:r>
    </w:p>
    <w:p w:rsidR="0076001D" w:rsidRDefault="0034129A">
      <w:pPr>
        <w:spacing w:after="0" w:line="259" w:lineRule="auto"/>
        <w:ind w:left="0" w:right="8776" w:firstLine="0"/>
        <w:jc w:val="left"/>
      </w:pPr>
      <w:r>
        <w:rPr>
          <w:sz w:val="28"/>
        </w:rPr>
        <w:t xml:space="preserve"> </w:t>
      </w:r>
    </w:p>
    <w:p w:rsidR="0076001D" w:rsidRDefault="0034129A">
      <w:pPr>
        <w:spacing w:after="0" w:line="259" w:lineRule="auto"/>
        <w:ind w:left="542" w:firstLine="0"/>
        <w:jc w:val="left"/>
      </w:pPr>
      <w:r>
        <w:rPr>
          <w:noProof/>
          <w:lang w:val="es-ES" w:eastAsia="es-ES"/>
        </w:rPr>
        <w:drawing>
          <wp:inline distT="0" distB="0" distL="0" distR="0">
            <wp:extent cx="227546" cy="136525"/>
            <wp:effectExtent l="0" t="0" r="0" b="0"/>
            <wp:docPr id="7315" name="Picture 7315"/>
            <wp:cNvGraphicFramePr/>
            <a:graphic xmlns:a="http://schemas.openxmlformats.org/drawingml/2006/main">
              <a:graphicData uri="http://schemas.openxmlformats.org/drawingml/2006/picture">
                <pic:pic xmlns:pic="http://schemas.openxmlformats.org/drawingml/2006/picture">
                  <pic:nvPicPr>
                    <pic:cNvPr id="7315" name="Picture 7315"/>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ind w:left="545" w:firstLine="348"/>
      </w:pPr>
      <w:r>
        <w:t xml:space="preserve">La entidad cuenta con el Res 052-2020_Manual Especifico de Funciones IDEP.pdf, actualizado al 15 de abril de 2020 para los empleados de planta de personal del IDEP (Resolución 222 del 2015), que incluye al Técnico operativo del proceso de gestión tecnológica, cabe anotar que para el cargo de jefe de la Oficina de Planeación no se incluyen funciones asociadas a la gestión tecnológica, sistema de gestión de seguridad de la información, ni Gobierno Digital. </w:t>
      </w:r>
    </w:p>
    <w:p w:rsidR="0076001D" w:rsidRDefault="0034129A">
      <w:pPr>
        <w:spacing w:after="0" w:line="259" w:lineRule="auto"/>
        <w:ind w:left="0" w:firstLine="0"/>
        <w:jc w:val="left"/>
      </w:pPr>
      <w:r>
        <w:rPr>
          <w:sz w:val="24"/>
        </w:rPr>
        <w:t xml:space="preserve"> </w:t>
      </w:r>
    </w:p>
    <w:p w:rsidR="0076001D" w:rsidRDefault="0034129A">
      <w:pPr>
        <w:spacing w:after="0" w:line="259" w:lineRule="auto"/>
        <w:ind w:left="0" w:firstLine="0"/>
        <w:jc w:val="left"/>
      </w:pPr>
      <w:r>
        <w:rPr>
          <w:sz w:val="24"/>
        </w:rPr>
        <w:t xml:space="preserve"> </w:t>
      </w:r>
    </w:p>
    <w:p w:rsidR="0076001D" w:rsidRDefault="0034129A">
      <w:pPr>
        <w:spacing w:after="156" w:line="259" w:lineRule="auto"/>
        <w:ind w:left="0" w:firstLine="0"/>
        <w:jc w:val="left"/>
      </w:pPr>
      <w:r>
        <w:rPr>
          <w:sz w:val="24"/>
        </w:rPr>
        <w:t xml:space="preserve"> </w:t>
      </w:r>
    </w:p>
    <w:p w:rsidR="0076001D" w:rsidRDefault="0034129A">
      <w:pPr>
        <w:pStyle w:val="Ttulo4"/>
        <w:tabs>
          <w:tab w:val="center" w:pos="870"/>
          <w:tab w:val="center" w:pos="5140"/>
        </w:tabs>
        <w:spacing w:after="31"/>
        <w:ind w:left="0" w:firstLine="0"/>
      </w:pPr>
      <w:r>
        <w:rPr>
          <w:rFonts w:ascii="Calibri" w:eastAsia="Calibri" w:hAnsi="Calibri" w:cs="Calibri"/>
          <w:b w:val="0"/>
        </w:rPr>
        <w:tab/>
      </w:r>
      <w:r>
        <w:t xml:space="preserve">5.1.2.1 </w:t>
      </w:r>
      <w:r>
        <w:tab/>
        <w:t xml:space="preserve">Seguimiento a Recomendaciones 2019 </w:t>
      </w:r>
    </w:p>
    <w:p w:rsidR="0076001D" w:rsidRDefault="0034129A">
      <w:pPr>
        <w:spacing w:after="0" w:line="259" w:lineRule="auto"/>
        <w:ind w:left="0" w:firstLine="0"/>
        <w:jc w:val="left"/>
      </w:pPr>
      <w:r>
        <w:rPr>
          <w:b/>
          <w:sz w:val="27"/>
        </w:rPr>
        <w:t xml:space="preserve"> </w:t>
      </w:r>
    </w:p>
    <w:p w:rsidR="0076001D" w:rsidRDefault="0034129A">
      <w:pPr>
        <w:spacing w:after="0" w:line="259" w:lineRule="auto"/>
        <w:ind w:left="0" w:firstLine="0"/>
      </w:pPr>
      <w:r>
        <w:rPr>
          <w:rFonts w:ascii="Calibri" w:eastAsia="Calibri" w:hAnsi="Calibri" w:cs="Calibri"/>
          <w:noProof/>
          <w:lang w:val="es-ES" w:eastAsia="es-ES"/>
        </w:rPr>
        <mc:AlternateContent>
          <mc:Choice Requires="wpg">
            <w:drawing>
              <wp:anchor distT="0" distB="0" distL="114300" distR="114300" simplePos="0" relativeHeight="251664384" behindDoc="0" locked="0" layoutInCell="1" allowOverlap="1">
                <wp:simplePos x="0" y="0"/>
                <wp:positionH relativeFrom="page">
                  <wp:posOffset>4745355</wp:posOffset>
                </wp:positionH>
                <wp:positionV relativeFrom="page">
                  <wp:posOffset>8965564</wp:posOffset>
                </wp:positionV>
                <wp:extent cx="2000250" cy="802641"/>
                <wp:effectExtent l="0" t="0" r="0" b="0"/>
                <wp:wrapTopAndBottom/>
                <wp:docPr id="194952" name="Group 194952"/>
                <wp:cNvGraphicFramePr/>
                <a:graphic xmlns:a="http://schemas.openxmlformats.org/drawingml/2006/main">
                  <a:graphicData uri="http://schemas.microsoft.com/office/word/2010/wordprocessingGroup">
                    <wpg:wgp>
                      <wpg:cNvGrpSpPr/>
                      <wpg:grpSpPr>
                        <a:xfrm>
                          <a:off x="0" y="0"/>
                          <a:ext cx="2000250" cy="802641"/>
                          <a:chOff x="0" y="0"/>
                          <a:chExt cx="2000250" cy="802641"/>
                        </a:xfrm>
                      </wpg:grpSpPr>
                      <pic:pic xmlns:pic="http://schemas.openxmlformats.org/drawingml/2006/picture">
                        <pic:nvPicPr>
                          <pic:cNvPr id="7352" name="Picture 7352"/>
                          <pic:cNvPicPr/>
                        </pic:nvPicPr>
                        <pic:blipFill>
                          <a:blip r:embed="rId83"/>
                          <a:stretch>
                            <a:fillRect/>
                          </a:stretch>
                        </pic:blipFill>
                        <pic:spPr>
                          <a:xfrm>
                            <a:off x="0" y="154941"/>
                            <a:ext cx="2000250" cy="647700"/>
                          </a:xfrm>
                          <a:prstGeom prst="rect">
                            <a:avLst/>
                          </a:prstGeom>
                        </pic:spPr>
                      </pic:pic>
                      <pic:pic xmlns:pic="http://schemas.openxmlformats.org/drawingml/2006/picture">
                        <pic:nvPicPr>
                          <pic:cNvPr id="7354" name="Picture 7354"/>
                          <pic:cNvPicPr/>
                        </pic:nvPicPr>
                        <pic:blipFill>
                          <a:blip r:embed="rId101"/>
                          <a:stretch>
                            <a:fillRect/>
                          </a:stretch>
                        </pic:blipFill>
                        <pic:spPr>
                          <a:xfrm>
                            <a:off x="139700" y="0"/>
                            <a:ext cx="213360" cy="217805"/>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194952" style="width:157.5pt;height:63.2001pt;position:absolute;mso-position-horizontal-relative:page;mso-position-horizontal:absolute;margin-left:373.65pt;mso-position-vertical-relative:page;margin-top:705.95pt;" coordsize="20002,8026">
                <v:shape id="Picture 7352" style="position:absolute;width:20002;height:6477;left:0;top:1549;" filled="f">
                  <v:imagedata r:id="rId102"/>
                </v:shape>
                <v:shape id="Picture 7354" style="position:absolute;width:2133;height:2178;left:1397;top:0;" filled="f">
                  <v:imagedata r:id="rId103"/>
                </v:shape>
                <w10:wrap type="topAndBottom"/>
              </v:group>
            </w:pict>
          </mc:Fallback>
        </mc:AlternateContent>
      </w:r>
      <w:r>
        <w:rPr>
          <w:rFonts w:ascii="Times New Roman" w:eastAsia="Times New Roman" w:hAnsi="Times New Roman" w:cs="Times New Roman"/>
        </w:rPr>
        <w:t xml:space="preserve"> </w:t>
      </w:r>
    </w:p>
    <w:tbl>
      <w:tblPr>
        <w:tblStyle w:val="TableGrid"/>
        <w:tblW w:w="9622" w:type="dxa"/>
        <w:tblInd w:w="164" w:type="dxa"/>
        <w:tblCellMar>
          <w:top w:w="5" w:type="dxa"/>
          <w:left w:w="5" w:type="dxa"/>
        </w:tblCellMar>
        <w:tblLook w:val="04A0" w:firstRow="1" w:lastRow="0" w:firstColumn="1" w:lastColumn="0" w:noHBand="0" w:noVBand="1"/>
      </w:tblPr>
      <w:tblGrid>
        <w:gridCol w:w="634"/>
        <w:gridCol w:w="5571"/>
        <w:gridCol w:w="712"/>
        <w:gridCol w:w="2705"/>
      </w:tblGrid>
      <w:tr w:rsidR="0076001D">
        <w:trPr>
          <w:trHeight w:val="257"/>
        </w:trPr>
        <w:tc>
          <w:tcPr>
            <w:tcW w:w="63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center"/>
            </w:pPr>
            <w:r>
              <w:rPr>
                <w:b/>
                <w:sz w:val="20"/>
              </w:rPr>
              <w:t xml:space="preserve">N°. </w:t>
            </w:r>
          </w:p>
        </w:tc>
        <w:tc>
          <w:tcPr>
            <w:tcW w:w="557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7" w:firstLine="0"/>
              <w:jc w:val="center"/>
            </w:pPr>
            <w:r>
              <w:rPr>
                <w:b/>
                <w:sz w:val="20"/>
              </w:rPr>
              <w:t xml:space="preserve">Recomendación 2019 </w:t>
            </w:r>
          </w:p>
        </w:tc>
        <w:tc>
          <w:tcPr>
            <w:tcW w:w="71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6" w:firstLine="0"/>
              <w:jc w:val="center"/>
            </w:pPr>
            <w:r>
              <w:rPr>
                <w:b/>
                <w:sz w:val="20"/>
              </w:rPr>
              <w:t xml:space="preserve">Seguimiento 2020 </w:t>
            </w:r>
          </w:p>
        </w:tc>
      </w:tr>
      <w:tr w:rsidR="0076001D">
        <w:trPr>
          <w:trHeight w:val="5543"/>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lastRenderedPageBreak/>
              <w:t xml:space="preserve"> </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468" w:right="105" w:hanging="360"/>
            </w:pPr>
            <w:r>
              <w:rPr>
                <w:rFonts w:ascii="Segoe UI Symbol" w:eastAsia="Segoe UI Symbol" w:hAnsi="Segoe UI Symbol" w:cs="Segoe UI Symbol"/>
                <w:sz w:val="20"/>
              </w:rPr>
              <w:t>•</w:t>
            </w:r>
            <w:r>
              <w:rPr>
                <w:sz w:val="20"/>
              </w:rPr>
              <w:t xml:space="preserve"> Formalizar un Plan de Transferencia de Conocimiento </w:t>
            </w:r>
            <w:proofErr w:type="spellStart"/>
            <w:r>
              <w:rPr>
                <w:sz w:val="20"/>
              </w:rPr>
              <w:t>especifico</w:t>
            </w:r>
            <w:proofErr w:type="spellEnd"/>
            <w:r>
              <w:rPr>
                <w:sz w:val="20"/>
              </w:rPr>
              <w:t xml:space="preserve"> especialmente entre funcionarios y contratistas, que haciendo uso de un número de horas a la semana por colaborador se ejecute: </w:t>
            </w:r>
          </w:p>
          <w:p w:rsidR="0076001D" w:rsidRDefault="0034129A">
            <w:pPr>
              <w:numPr>
                <w:ilvl w:val="0"/>
                <w:numId w:val="39"/>
              </w:numPr>
              <w:spacing w:after="0" w:line="241" w:lineRule="auto"/>
              <w:ind w:right="105" w:hanging="360"/>
            </w:pPr>
            <w:r>
              <w:rPr>
                <w:sz w:val="20"/>
              </w:rPr>
              <w:t xml:space="preserve">La elaboración de los instructivos y procedimientos (que aún no existan) correspondientes a sus funciones de acuerdo con Matrices de Cargos vs Funciones vs documentos. </w:t>
            </w:r>
          </w:p>
          <w:p w:rsidR="0076001D" w:rsidRDefault="0034129A">
            <w:pPr>
              <w:numPr>
                <w:ilvl w:val="0"/>
                <w:numId w:val="39"/>
              </w:numPr>
              <w:spacing w:after="3" w:line="241" w:lineRule="auto"/>
              <w:ind w:right="105" w:hanging="360"/>
            </w:pPr>
            <w:r>
              <w:rPr>
                <w:sz w:val="20"/>
              </w:rPr>
              <w:t xml:space="preserve">Capacitación en las funciones de su cargo, incluyendo incidentes y recuperaciones para el funcionario identificado como contingencia. </w:t>
            </w:r>
            <w:r>
              <w:rPr>
                <w:rFonts w:ascii="Courier New" w:eastAsia="Courier New" w:hAnsi="Courier New" w:cs="Courier New"/>
                <w:sz w:val="20"/>
              </w:rPr>
              <w:t>o</w:t>
            </w:r>
            <w:r>
              <w:rPr>
                <w:sz w:val="20"/>
              </w:rPr>
              <w:t xml:space="preserve"> Elaborar un plan de rotación de funciones temporal, entre colaboradores principales y de contingencia. Evaluar resultados.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108" w:right="106" w:firstLine="0"/>
            </w:pPr>
            <w:r>
              <w:rPr>
                <w:sz w:val="20"/>
              </w:rPr>
              <w:t xml:space="preserve">Este ejercicio puede incorporarse a la documentación de Plan de continuidad de negocio y al desarrollo del dominio 17 (continuidad) del Modelo de Seguridad y Privacidad de la Información (MSPI) ya que conforme a la norma ISO 27001:2013 el personal con conocimientos específicos también es un activo de información y es objeto de tratamiento de riesgos por ausencia temporal o  permanente.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4" w:right="104" w:firstLine="0"/>
            </w:pPr>
            <w:r>
              <w:rPr>
                <w:sz w:val="20"/>
              </w:rPr>
              <w:t xml:space="preserve">V11_0.pdf, aun no incluye la contingencia por recurso humano de conocimiento </w:t>
            </w:r>
            <w:proofErr w:type="spellStart"/>
            <w:proofErr w:type="gramStart"/>
            <w:r>
              <w:rPr>
                <w:sz w:val="20"/>
              </w:rPr>
              <w:t>especifico</w:t>
            </w:r>
            <w:proofErr w:type="spellEnd"/>
            <w:proofErr w:type="gramEnd"/>
            <w:r>
              <w:rPr>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1" w:line="241" w:lineRule="auto"/>
              <w:ind w:left="104" w:right="103" w:firstLine="0"/>
            </w:pPr>
            <w:r>
              <w:rPr>
                <w:sz w:val="20"/>
              </w:rPr>
              <w:t xml:space="preserve">Sin embargo, se observa un aumento en la construcción de instructivos y manuales que son instrumentos de gestión de conocimiento. </w:t>
            </w:r>
          </w:p>
          <w:p w:rsidR="0076001D" w:rsidRDefault="0034129A">
            <w:pPr>
              <w:spacing w:after="0" w:line="259" w:lineRule="auto"/>
              <w:ind w:left="104" w:right="103" w:firstLine="0"/>
            </w:pPr>
            <w:r>
              <w:rPr>
                <w:sz w:val="20"/>
              </w:rPr>
              <w:t xml:space="preserve">De igual manera se han solicitado documentos a proveedores con este mismo propósito. </w:t>
            </w:r>
          </w:p>
        </w:tc>
      </w:tr>
      <w:tr w:rsidR="0076001D">
        <w:trPr>
          <w:trHeight w:val="3228"/>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0" w:right="-9" w:firstLine="0"/>
              <w:jc w:val="right"/>
            </w:pPr>
            <w:r>
              <w:rPr>
                <w:sz w:val="20"/>
              </w:rPr>
              <w:t>2.</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07" w:firstLine="0"/>
            </w:pPr>
            <w:r>
              <w:rPr>
                <w:sz w:val="20"/>
              </w:rPr>
              <w:t xml:space="preserve">De ser posible, adelantar procesos de capacitación al funcionario de sistemas de la OAP para disminuir la dependencia de conocimiento de los proveedores del firewall, antivirus y </w:t>
            </w:r>
            <w:proofErr w:type="spellStart"/>
            <w:r>
              <w:rPr>
                <w:sz w:val="20"/>
              </w:rPr>
              <w:t>hiperconvergencia</w:t>
            </w:r>
            <w:proofErr w:type="spellEnd"/>
            <w:r>
              <w:rPr>
                <w:sz w:val="20"/>
              </w:rPr>
              <w:t xml:space="preserve"> y otros elementos de gestión de operaciones TIC. En los estudios previos de contratistas fortalecer los requisitos de conocimientos en seguridad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152" w:firstLine="0"/>
              <w:jc w:val="left"/>
            </w:pPr>
            <w:r>
              <w:rPr>
                <w:noProof/>
                <w:lang w:val="es-ES" w:eastAsia="es-ES"/>
              </w:rPr>
              <w:drawing>
                <wp:inline distT="0" distB="0" distL="0" distR="0">
                  <wp:extent cx="202768" cy="223520"/>
                  <wp:effectExtent l="0" t="0" r="0" b="0"/>
                  <wp:docPr id="7649" name="Picture 7649"/>
                  <wp:cNvGraphicFramePr/>
                  <a:graphic xmlns:a="http://schemas.openxmlformats.org/drawingml/2006/main">
                    <a:graphicData uri="http://schemas.openxmlformats.org/drawingml/2006/picture">
                      <pic:pic xmlns:pic="http://schemas.openxmlformats.org/drawingml/2006/picture">
                        <pic:nvPicPr>
                          <pic:cNvPr id="7649" name="Picture 7649"/>
                          <pic:cNvPicPr/>
                        </pic:nvPicPr>
                        <pic:blipFill>
                          <a:blip r:embed="rId104"/>
                          <a:stretch>
                            <a:fillRect/>
                          </a:stretch>
                        </pic:blipFill>
                        <pic:spPr>
                          <a:xfrm>
                            <a:off x="0" y="0"/>
                            <a:ext cx="202768" cy="223520"/>
                          </a:xfrm>
                          <a:prstGeom prst="rect">
                            <a:avLst/>
                          </a:prstGeom>
                        </pic:spPr>
                      </pic:pic>
                    </a:graphicData>
                  </a:graphic>
                </wp:inline>
              </w:drawing>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2" w:lineRule="auto"/>
              <w:ind w:left="104" w:right="104" w:firstLine="0"/>
            </w:pPr>
            <w:r>
              <w:rPr>
                <w:sz w:val="20"/>
              </w:rPr>
              <w:t xml:space="preserve">No se evidencia mejora en el conocimiento específico del </w:t>
            </w:r>
            <w:proofErr w:type="spellStart"/>
            <w:r>
              <w:rPr>
                <w:sz w:val="20"/>
              </w:rPr>
              <w:t>Tecnico</w:t>
            </w:r>
            <w:proofErr w:type="spellEnd"/>
            <w:r>
              <w:rPr>
                <w:sz w:val="20"/>
              </w:rPr>
              <w:t xml:space="preserve"> del área. </w:t>
            </w:r>
          </w:p>
          <w:p w:rsidR="0076001D" w:rsidRDefault="0034129A">
            <w:pPr>
              <w:spacing w:after="1" w:line="241" w:lineRule="auto"/>
              <w:ind w:left="104" w:right="104" w:firstLine="0"/>
            </w:pPr>
            <w:r>
              <w:rPr>
                <w:sz w:val="20"/>
              </w:rPr>
              <w:t xml:space="preserve">La recolección de evidencias de configuración fue atendida por un contratista. </w:t>
            </w:r>
          </w:p>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41" w:lineRule="auto"/>
              <w:ind w:left="104" w:right="100" w:firstLine="0"/>
              <w:jc w:val="left"/>
            </w:pPr>
            <w:r>
              <w:rPr>
                <w:sz w:val="20"/>
              </w:rPr>
              <w:t xml:space="preserve">Vale anotar como mejora, la elaboración de manuales de administración de las </w:t>
            </w:r>
          </w:p>
          <w:p w:rsidR="0076001D" w:rsidRDefault="0034129A">
            <w:pPr>
              <w:spacing w:after="0" w:line="259" w:lineRule="auto"/>
              <w:ind w:left="104" w:firstLine="0"/>
              <w:jc w:val="left"/>
            </w:pPr>
            <w:proofErr w:type="gramStart"/>
            <w:r>
              <w:rPr>
                <w:sz w:val="20"/>
              </w:rPr>
              <w:t>herramientas</w:t>
            </w:r>
            <w:proofErr w:type="gramEnd"/>
            <w:r>
              <w:rPr>
                <w:sz w:val="20"/>
              </w:rPr>
              <w:t xml:space="preserve"> administrativas. </w:t>
            </w:r>
          </w:p>
        </w:tc>
      </w:tr>
      <w:tr w:rsidR="0076001D">
        <w:trPr>
          <w:trHeight w:val="1395"/>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36"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8"/>
              </w:rPr>
              <w:t xml:space="preserve"> </w:t>
            </w:r>
          </w:p>
          <w:p w:rsidR="0076001D" w:rsidRDefault="0034129A">
            <w:pPr>
              <w:spacing w:after="0" w:line="259" w:lineRule="auto"/>
              <w:ind w:left="0" w:right="-9" w:firstLine="0"/>
              <w:jc w:val="right"/>
            </w:pPr>
            <w:r>
              <w:rPr>
                <w:sz w:val="20"/>
              </w:rPr>
              <w:t>3.</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09" w:firstLine="0"/>
            </w:pPr>
            <w:r>
              <w:rPr>
                <w:sz w:val="20"/>
              </w:rPr>
              <w:t xml:space="preserve">De ser posible incluir en las obligaciones de los contratistas la elaboración de instructivos de transferencia de conocimiento y un servicio de empalme al IDEP asociado al último producto del contrato que incluya por lo menos registros documentales de cambios, seguimiento a los contratos y procedimientos de operación.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5"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242" w:firstLine="0"/>
              <w:jc w:val="left"/>
            </w:pPr>
            <w:r>
              <w:rPr>
                <w:noProof/>
                <w:lang w:val="es-ES" w:eastAsia="es-ES"/>
              </w:rPr>
              <w:drawing>
                <wp:inline distT="0" distB="0" distL="0" distR="0">
                  <wp:extent cx="202768" cy="223520"/>
                  <wp:effectExtent l="0" t="0" r="0" b="0"/>
                  <wp:docPr id="7651" name="Picture 7651"/>
                  <wp:cNvGraphicFramePr/>
                  <a:graphic xmlns:a="http://schemas.openxmlformats.org/drawingml/2006/main">
                    <a:graphicData uri="http://schemas.openxmlformats.org/drawingml/2006/picture">
                      <pic:pic xmlns:pic="http://schemas.openxmlformats.org/drawingml/2006/picture">
                        <pic:nvPicPr>
                          <pic:cNvPr id="7651" name="Picture 7651"/>
                          <pic:cNvPicPr/>
                        </pic:nvPicPr>
                        <pic:blipFill>
                          <a:blip r:embed="rId105"/>
                          <a:stretch>
                            <a:fillRect/>
                          </a:stretch>
                        </pic:blipFill>
                        <pic:spPr>
                          <a:xfrm>
                            <a:off x="0" y="0"/>
                            <a:ext cx="202768" cy="223520"/>
                          </a:xfrm>
                          <a:prstGeom prst="rect">
                            <a:avLst/>
                          </a:prstGeom>
                        </pic:spPr>
                      </pic:pic>
                    </a:graphicData>
                  </a:graphic>
                </wp:inline>
              </w:drawing>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4" w:right="104" w:firstLine="0"/>
            </w:pPr>
            <w:r>
              <w:rPr>
                <w:sz w:val="20"/>
              </w:rPr>
              <w:t xml:space="preserve">En los contratos 21, 24 y 25 de 2020 no incluye instructivos. </w:t>
            </w:r>
          </w:p>
        </w:tc>
      </w:tr>
      <w:tr w:rsidR="0076001D">
        <w:trPr>
          <w:trHeight w:val="696"/>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0" w:right="-9" w:firstLine="0"/>
              <w:jc w:val="right"/>
            </w:pPr>
            <w:r>
              <w:rPr>
                <w:sz w:val="20"/>
              </w:rPr>
              <w:t>4.</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Adelantar acuerdos de confidencialidad con los contratistas.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right="130" w:firstLine="0"/>
              <w:jc w:val="right"/>
            </w:pPr>
            <w:r>
              <w:rPr>
                <w:noProof/>
                <w:lang w:val="es-ES" w:eastAsia="es-ES"/>
              </w:rPr>
              <w:drawing>
                <wp:inline distT="0" distB="0" distL="0" distR="0">
                  <wp:extent cx="224155" cy="223520"/>
                  <wp:effectExtent l="0" t="0" r="0" b="0"/>
                  <wp:docPr id="7653" name="Picture 7653"/>
                  <wp:cNvGraphicFramePr/>
                  <a:graphic xmlns:a="http://schemas.openxmlformats.org/drawingml/2006/main">
                    <a:graphicData uri="http://schemas.openxmlformats.org/drawingml/2006/picture">
                      <pic:pic xmlns:pic="http://schemas.openxmlformats.org/drawingml/2006/picture">
                        <pic:nvPicPr>
                          <pic:cNvPr id="7653" name="Picture 7653"/>
                          <pic:cNvPicPr/>
                        </pic:nvPicPr>
                        <pic:blipFill>
                          <a:blip r:embed="rId106"/>
                          <a:stretch>
                            <a:fillRect/>
                          </a:stretch>
                        </pic:blipFill>
                        <pic:spPr>
                          <a:xfrm>
                            <a:off x="0" y="0"/>
                            <a:ext cx="224155" cy="223520"/>
                          </a:xfrm>
                          <a:prstGeom prst="rect">
                            <a:avLst/>
                          </a:prstGeom>
                        </pic:spPr>
                      </pic:pic>
                    </a:graphicData>
                  </a:graphic>
                </wp:inline>
              </w:drawing>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tabs>
                <w:tab w:val="center" w:pos="1043"/>
                <w:tab w:val="center" w:pos="2164"/>
              </w:tabs>
              <w:spacing w:after="0" w:line="259" w:lineRule="auto"/>
              <w:ind w:left="0" w:firstLine="0"/>
              <w:jc w:val="left"/>
            </w:pPr>
            <w:r>
              <w:rPr>
                <w:sz w:val="20"/>
              </w:rPr>
              <w:t xml:space="preserve">Se </w:t>
            </w:r>
            <w:r>
              <w:rPr>
                <w:sz w:val="20"/>
              </w:rPr>
              <w:tab/>
              <w:t xml:space="preserve">están </w:t>
            </w:r>
            <w:r>
              <w:rPr>
                <w:sz w:val="20"/>
              </w:rPr>
              <w:tab/>
              <w:t xml:space="preserve">aplicando </w:t>
            </w:r>
          </w:p>
          <w:p w:rsidR="0076001D" w:rsidRDefault="0034129A">
            <w:pPr>
              <w:tabs>
                <w:tab w:val="center" w:pos="1739"/>
                <w:tab w:val="center" w:pos="2479"/>
              </w:tabs>
              <w:spacing w:after="0" w:line="259" w:lineRule="auto"/>
              <w:ind w:left="0" w:firstLine="0"/>
              <w:jc w:val="left"/>
            </w:pPr>
            <w:r>
              <w:rPr>
                <w:sz w:val="20"/>
              </w:rPr>
              <w:t xml:space="preserve">acuerdos </w:t>
            </w:r>
            <w:r>
              <w:rPr>
                <w:sz w:val="20"/>
              </w:rPr>
              <w:tab/>
              <w:t xml:space="preserve"> </w:t>
            </w:r>
            <w:r>
              <w:rPr>
                <w:sz w:val="20"/>
              </w:rPr>
              <w:tab/>
              <w:t xml:space="preserve">de </w:t>
            </w:r>
          </w:p>
          <w:p w:rsidR="0076001D" w:rsidRDefault="0034129A">
            <w:pPr>
              <w:spacing w:after="0" w:line="259" w:lineRule="auto"/>
              <w:ind w:left="104" w:firstLine="0"/>
              <w:jc w:val="left"/>
            </w:pPr>
            <w:r>
              <w:rPr>
                <w:sz w:val="20"/>
              </w:rPr>
              <w:t xml:space="preserve">confidencialidad </w:t>
            </w:r>
          </w:p>
        </w:tc>
      </w:tr>
      <w:tr w:rsidR="0076001D">
        <w:trPr>
          <w:trHeight w:val="931"/>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9"/>
              </w:rPr>
              <w:t xml:space="preserve"> </w:t>
            </w:r>
          </w:p>
          <w:p w:rsidR="0076001D" w:rsidRDefault="0034129A">
            <w:pPr>
              <w:spacing w:after="0" w:line="259" w:lineRule="auto"/>
              <w:ind w:left="0" w:right="-9" w:firstLine="0"/>
              <w:jc w:val="right"/>
            </w:pPr>
            <w:r>
              <w:rPr>
                <w:sz w:val="20"/>
              </w:rPr>
              <w:t>5.</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20" w:firstLine="0"/>
            </w:pPr>
            <w:r>
              <w:rPr>
                <w:sz w:val="20"/>
              </w:rPr>
              <w:t xml:space="preserve">Adelantar un análisis de capacidad de los recursos humanos actuales con que cuenta la OAP con respecto a los requisitos de esfuerzo para adelantar las funciones de la gestión TIC, de Gestión de Seguridad de la Información y la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4" w:firstLine="0"/>
              <w:jc w:val="left"/>
            </w:pPr>
            <w:r>
              <w:rPr>
                <w:sz w:val="20"/>
              </w:rPr>
              <w:t xml:space="preserve">No se evidencia avance al respecto. </w:t>
            </w:r>
          </w:p>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tabs>
                <w:tab w:val="center" w:pos="1625"/>
                <w:tab w:val="right" w:pos="2701"/>
              </w:tabs>
              <w:spacing w:after="0" w:line="259" w:lineRule="auto"/>
              <w:ind w:left="0" w:firstLine="0"/>
              <w:jc w:val="left"/>
            </w:pPr>
            <w:r>
              <w:rPr>
                <w:sz w:val="20"/>
              </w:rPr>
              <w:t xml:space="preserve">Existen </w:t>
            </w:r>
            <w:r>
              <w:rPr>
                <w:sz w:val="20"/>
              </w:rPr>
              <w:tab/>
              <w:t xml:space="preserve">obligaciones </w:t>
            </w:r>
            <w:r>
              <w:rPr>
                <w:sz w:val="20"/>
              </w:rPr>
              <w:tab/>
              <w:t xml:space="preserve">y </w:t>
            </w:r>
          </w:p>
        </w:tc>
      </w:tr>
    </w:tbl>
    <w:p w:rsidR="0076001D" w:rsidRDefault="0034129A">
      <w:pPr>
        <w:spacing w:after="0" w:line="259" w:lineRule="auto"/>
        <w:ind w:left="0" w:firstLine="0"/>
        <w:jc w:val="left"/>
      </w:pPr>
      <w:r>
        <w:rPr>
          <w:rFonts w:ascii="Times New Roman" w:eastAsia="Times New Roman" w:hAnsi="Times New Roman" w:cs="Times New Roman"/>
        </w:rPr>
        <w:t xml:space="preserve"> </w:t>
      </w:r>
    </w:p>
    <w:tbl>
      <w:tblPr>
        <w:tblStyle w:val="TableGrid"/>
        <w:tblW w:w="9622" w:type="dxa"/>
        <w:tblInd w:w="164" w:type="dxa"/>
        <w:tblCellMar>
          <w:top w:w="6" w:type="dxa"/>
          <w:left w:w="5" w:type="dxa"/>
        </w:tblCellMar>
        <w:tblLook w:val="04A0" w:firstRow="1" w:lastRow="0" w:firstColumn="1" w:lastColumn="0" w:noHBand="0" w:noVBand="1"/>
      </w:tblPr>
      <w:tblGrid>
        <w:gridCol w:w="634"/>
        <w:gridCol w:w="5571"/>
        <w:gridCol w:w="712"/>
        <w:gridCol w:w="2705"/>
      </w:tblGrid>
      <w:tr w:rsidR="0076001D">
        <w:trPr>
          <w:trHeight w:val="257"/>
        </w:trPr>
        <w:tc>
          <w:tcPr>
            <w:tcW w:w="63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center"/>
            </w:pPr>
            <w:r>
              <w:rPr>
                <w:b/>
                <w:sz w:val="20"/>
              </w:rPr>
              <w:lastRenderedPageBreak/>
              <w:t xml:space="preserve">N°. </w:t>
            </w:r>
          </w:p>
        </w:tc>
        <w:tc>
          <w:tcPr>
            <w:tcW w:w="557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7" w:firstLine="0"/>
              <w:jc w:val="center"/>
            </w:pPr>
            <w:r>
              <w:rPr>
                <w:b/>
                <w:sz w:val="20"/>
              </w:rPr>
              <w:t xml:space="preserve">Recomendación 2019 </w:t>
            </w:r>
          </w:p>
        </w:tc>
        <w:tc>
          <w:tcPr>
            <w:tcW w:w="71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6" w:firstLine="0"/>
              <w:jc w:val="center"/>
            </w:pPr>
            <w:r>
              <w:rPr>
                <w:b/>
                <w:sz w:val="20"/>
              </w:rPr>
              <w:t xml:space="preserve">Seguimiento 2020 </w:t>
            </w:r>
          </w:p>
        </w:tc>
      </w:tr>
      <w:tr w:rsidR="0076001D">
        <w:trPr>
          <w:trHeight w:val="1163"/>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proofErr w:type="gramStart"/>
            <w:r>
              <w:rPr>
                <w:sz w:val="20"/>
              </w:rPr>
              <w:t>atención</w:t>
            </w:r>
            <w:proofErr w:type="gramEnd"/>
            <w:r>
              <w:rPr>
                <w:sz w:val="20"/>
              </w:rPr>
              <w:t xml:space="preserve"> de proyectos. </w:t>
            </w:r>
          </w:p>
          <w:p w:rsidR="0076001D" w:rsidRDefault="0034129A">
            <w:pPr>
              <w:spacing w:after="0" w:line="259" w:lineRule="auto"/>
              <w:ind w:left="108" w:right="64" w:firstLine="0"/>
              <w:jc w:val="left"/>
            </w:pPr>
            <w:r>
              <w:rPr>
                <w:sz w:val="20"/>
              </w:rPr>
              <w:t xml:space="preserve">Esto con el fin de determinar si los recursos actuales son suficientes para atender la demanda funcional. De ser posible, mejorar los perfiles de los contratistas o vincular uno adicional para la implementación MSPI.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4" w:right="108" w:firstLine="0"/>
            </w:pPr>
            <w:proofErr w:type="gramStart"/>
            <w:r>
              <w:rPr>
                <w:sz w:val="20"/>
              </w:rPr>
              <w:t>productos</w:t>
            </w:r>
            <w:proofErr w:type="gramEnd"/>
            <w:r>
              <w:rPr>
                <w:sz w:val="20"/>
              </w:rPr>
              <w:t xml:space="preserve"> repetidos en los contratos con personas naturales. </w:t>
            </w:r>
          </w:p>
        </w:tc>
      </w:tr>
      <w:tr w:rsidR="0076001D">
        <w:trPr>
          <w:trHeight w:val="2079"/>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15"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right="-9" w:firstLine="0"/>
              <w:jc w:val="right"/>
            </w:pPr>
            <w:r>
              <w:rPr>
                <w:sz w:val="20"/>
              </w:rPr>
              <w:t>6.</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110" w:firstLine="0"/>
            </w:pPr>
            <w:r>
              <w:rPr>
                <w:sz w:val="20"/>
              </w:rPr>
              <w:t xml:space="preserve">De ser posible, continuar con la búsqueda de alternativas para la adquisición de un sistema ERP en remplazo de </w:t>
            </w:r>
            <w:proofErr w:type="spellStart"/>
            <w:r>
              <w:rPr>
                <w:sz w:val="20"/>
              </w:rPr>
              <w:t>Goobi</w:t>
            </w:r>
            <w:proofErr w:type="spellEnd"/>
            <w:r>
              <w:rPr>
                <w:sz w:val="20"/>
              </w:rPr>
              <w:t xml:space="preserve">. </w:t>
            </w:r>
          </w:p>
          <w:p w:rsidR="0076001D" w:rsidRDefault="0034129A">
            <w:pPr>
              <w:spacing w:after="0" w:line="259" w:lineRule="auto"/>
              <w:ind w:left="108" w:right="107" w:firstLine="0"/>
            </w:pPr>
            <w:r>
              <w:rPr>
                <w:sz w:val="20"/>
              </w:rPr>
              <w:t xml:space="preserve">Analizar la opción de un sistema por servicio, lo cual podría resultar más económico que la instalación local. De igual manera no sesgar las especificaciones técnicas a una interfaz preexistente con el sistema Humano, sino a la capacidad de cargar archivos planos con información de nómina para su procesamiento contable.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188" w:firstLine="0"/>
              <w:jc w:val="left"/>
            </w:pPr>
            <w:r>
              <w:rPr>
                <w:noProof/>
                <w:lang w:val="es-ES" w:eastAsia="es-ES"/>
              </w:rPr>
              <w:drawing>
                <wp:inline distT="0" distB="0" distL="0" distR="0">
                  <wp:extent cx="224155" cy="223520"/>
                  <wp:effectExtent l="0" t="0" r="0" b="0"/>
                  <wp:docPr id="7958" name="Picture 7958"/>
                  <wp:cNvGraphicFramePr/>
                  <a:graphic xmlns:a="http://schemas.openxmlformats.org/drawingml/2006/main">
                    <a:graphicData uri="http://schemas.openxmlformats.org/drawingml/2006/picture">
                      <pic:pic xmlns:pic="http://schemas.openxmlformats.org/drawingml/2006/picture">
                        <pic:nvPicPr>
                          <pic:cNvPr id="7958" name="Picture 7958"/>
                          <pic:cNvPicPr/>
                        </pic:nvPicPr>
                        <pic:blipFill>
                          <a:blip r:embed="rId107"/>
                          <a:stretch>
                            <a:fillRect/>
                          </a:stretch>
                        </pic:blipFill>
                        <pic:spPr>
                          <a:xfrm>
                            <a:off x="0" y="0"/>
                            <a:ext cx="224155" cy="223520"/>
                          </a:xfrm>
                          <a:prstGeom prst="rect">
                            <a:avLst/>
                          </a:prstGeom>
                        </pic:spPr>
                      </pic:pic>
                    </a:graphicData>
                  </a:graphic>
                </wp:inline>
              </w:drawing>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8" w:lineRule="auto"/>
              <w:ind w:left="104" w:firstLine="0"/>
              <w:jc w:val="left"/>
            </w:pPr>
            <w:r>
              <w:rPr>
                <w:sz w:val="20"/>
              </w:rPr>
              <w:t xml:space="preserve">La </w:t>
            </w:r>
            <w:r>
              <w:rPr>
                <w:sz w:val="20"/>
              </w:rPr>
              <w:tab/>
              <w:t xml:space="preserve">recomendación </w:t>
            </w:r>
            <w:r>
              <w:rPr>
                <w:sz w:val="20"/>
              </w:rPr>
              <w:tab/>
              <w:t xml:space="preserve">fue atendida correctamente. </w:t>
            </w:r>
          </w:p>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04" w:right="96" w:firstLine="0"/>
            </w:pPr>
            <w:r>
              <w:rPr>
                <w:sz w:val="20"/>
              </w:rPr>
              <w:t xml:space="preserve">La contratista a cargo realizo un análisis correcto y suficiente. </w:t>
            </w:r>
          </w:p>
        </w:tc>
      </w:tr>
      <w:tr w:rsidR="0076001D">
        <w:trPr>
          <w:trHeight w:val="931"/>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30"/>
              </w:rPr>
              <w:t xml:space="preserve"> </w:t>
            </w:r>
          </w:p>
          <w:p w:rsidR="0076001D" w:rsidRDefault="0034129A">
            <w:pPr>
              <w:spacing w:after="0" w:line="259" w:lineRule="auto"/>
              <w:ind w:left="0" w:right="-9" w:firstLine="0"/>
              <w:jc w:val="right"/>
            </w:pPr>
            <w:r>
              <w:rPr>
                <w:sz w:val="20"/>
              </w:rPr>
              <w:t>7.</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Establecer como política de seguridad del MSPI dominio 15 la inclusión de criterios de aceptación de entregables, políticas de gestión de cambios y requisitos de seguridad para futuros contratos con terceros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right="165" w:firstLine="0"/>
              <w:jc w:val="center"/>
            </w:pPr>
            <w:r>
              <w:rPr>
                <w:noProof/>
                <w:lang w:val="es-ES" w:eastAsia="es-ES"/>
              </w:rPr>
              <w:drawing>
                <wp:inline distT="0" distB="0" distL="0" distR="0">
                  <wp:extent cx="213970" cy="218440"/>
                  <wp:effectExtent l="0" t="0" r="0" b="0"/>
                  <wp:docPr id="7960" name="Picture 7960"/>
                  <wp:cNvGraphicFramePr/>
                  <a:graphic xmlns:a="http://schemas.openxmlformats.org/drawingml/2006/main">
                    <a:graphicData uri="http://schemas.openxmlformats.org/drawingml/2006/picture">
                      <pic:pic xmlns:pic="http://schemas.openxmlformats.org/drawingml/2006/picture">
                        <pic:nvPicPr>
                          <pic:cNvPr id="7960" name="Picture 7960"/>
                          <pic:cNvPicPr/>
                        </pic:nvPicPr>
                        <pic:blipFill>
                          <a:blip r:embed="rId101"/>
                          <a:stretch>
                            <a:fillRect/>
                          </a:stretch>
                        </pic:blipFill>
                        <pic:spPr>
                          <a:xfrm>
                            <a:off x="0" y="0"/>
                            <a:ext cx="213970" cy="218440"/>
                          </a:xfrm>
                          <a:prstGeom prst="rect">
                            <a:avLst/>
                          </a:prstGeom>
                        </pic:spPr>
                      </pic:pic>
                    </a:graphicData>
                  </a:graphic>
                </wp:inline>
              </w:drawing>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4" w:firstLine="0"/>
              <w:jc w:val="left"/>
            </w:pPr>
            <w:r>
              <w:rPr>
                <w:sz w:val="20"/>
              </w:rPr>
              <w:t xml:space="preserve">El dominio 15 del MSPI no ha sido desarrollado. </w:t>
            </w:r>
          </w:p>
        </w:tc>
      </w:tr>
      <w:tr w:rsidR="0076001D">
        <w:trPr>
          <w:trHeight w:val="2542"/>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96"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right="-9" w:firstLine="0"/>
              <w:jc w:val="right"/>
            </w:pPr>
            <w:r>
              <w:rPr>
                <w:sz w:val="20"/>
              </w:rPr>
              <w:t>8.</w:t>
            </w:r>
          </w:p>
        </w:tc>
        <w:tc>
          <w:tcPr>
            <w:tcW w:w="55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08" w:firstLine="0"/>
            </w:pPr>
            <w:r>
              <w:rPr>
                <w:sz w:val="20"/>
              </w:rPr>
              <w:t xml:space="preserve">Diseñar y aplicar anualmente encuestas de satisfacción a usuarios finales, sobre los servicios de TI, orientados a identificar mejoras con respecto a: servicio de soporte, disponibilidad de los recursos, uso responsable de los recursos, conocimiento de las políticas de seguridad, necesidades de capacitación, subutilización de herramientas, redundancia en fuentes de información, requerimientos para minimizar las labores operativas y almacenamiento y disponibilidad de documentos. Con base en los resultados diseñar acciones correctivas e incluirlas en el PETIC del siguiente periodo </w:t>
            </w:r>
          </w:p>
        </w:tc>
        <w:tc>
          <w:tcPr>
            <w:tcW w:w="7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4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229" w:firstLine="0"/>
              <w:jc w:val="left"/>
            </w:pPr>
            <w:r>
              <w:rPr>
                <w:noProof/>
                <w:lang w:val="es-ES" w:eastAsia="es-ES"/>
              </w:rPr>
              <w:drawing>
                <wp:inline distT="0" distB="0" distL="0" distR="0">
                  <wp:extent cx="213995" cy="218465"/>
                  <wp:effectExtent l="0" t="0" r="0" b="0"/>
                  <wp:docPr id="7962" name="Picture 7962"/>
                  <wp:cNvGraphicFramePr/>
                  <a:graphic xmlns:a="http://schemas.openxmlformats.org/drawingml/2006/main">
                    <a:graphicData uri="http://schemas.openxmlformats.org/drawingml/2006/picture">
                      <pic:pic xmlns:pic="http://schemas.openxmlformats.org/drawingml/2006/picture">
                        <pic:nvPicPr>
                          <pic:cNvPr id="7962" name="Picture 7962"/>
                          <pic:cNvPicPr/>
                        </pic:nvPicPr>
                        <pic:blipFill>
                          <a:blip r:embed="rId108"/>
                          <a:stretch>
                            <a:fillRect/>
                          </a:stretch>
                        </pic:blipFill>
                        <pic:spPr>
                          <a:xfrm>
                            <a:off x="0" y="0"/>
                            <a:ext cx="213995" cy="218465"/>
                          </a:xfrm>
                          <a:prstGeom prst="rect">
                            <a:avLst/>
                          </a:prstGeom>
                        </pic:spPr>
                      </pic:pic>
                    </a:graphicData>
                  </a:graphic>
                </wp:inline>
              </w:drawing>
            </w:r>
          </w:p>
        </w:tc>
        <w:tc>
          <w:tcPr>
            <w:tcW w:w="270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4" w:right="103" w:firstLine="0"/>
            </w:pPr>
            <w:r>
              <w:rPr>
                <w:sz w:val="20"/>
              </w:rPr>
              <w:t xml:space="preserve">No se aplican encuestas de satisfacción en la mesa de servicio, las únicas encuestas están orientadas a identificación de intereses de capacitación. </w:t>
            </w:r>
          </w:p>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04" w:right="104" w:firstLine="0"/>
            </w:pPr>
            <w:r>
              <w:rPr>
                <w:sz w:val="20"/>
              </w:rPr>
              <w:t xml:space="preserve">Se mantiene la recomendación en el marco del MSPI. </w:t>
            </w:r>
          </w:p>
        </w:tc>
      </w:tr>
    </w:tbl>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135" w:line="259" w:lineRule="auto"/>
        <w:ind w:left="0" w:firstLine="0"/>
        <w:jc w:val="left"/>
      </w:pPr>
      <w:r>
        <w:rPr>
          <w:rFonts w:ascii="Times New Roman" w:eastAsia="Times New Roman" w:hAnsi="Times New Roman" w:cs="Times New Roman"/>
          <w:sz w:val="16"/>
        </w:rPr>
        <w:t xml:space="preserve"> </w:t>
      </w:r>
    </w:p>
    <w:p w:rsidR="0076001D" w:rsidRDefault="0034129A">
      <w:pPr>
        <w:tabs>
          <w:tab w:val="center" w:pos="870"/>
          <w:tab w:val="center" w:pos="4780"/>
        </w:tabs>
        <w:spacing w:after="35" w:line="259" w:lineRule="auto"/>
        <w:ind w:left="0" w:firstLine="0"/>
        <w:jc w:val="left"/>
      </w:pPr>
      <w:r>
        <w:rPr>
          <w:rFonts w:ascii="Calibri" w:eastAsia="Calibri" w:hAnsi="Calibri" w:cs="Calibri"/>
        </w:rPr>
        <w:tab/>
      </w:r>
      <w:r>
        <w:rPr>
          <w:b/>
        </w:rPr>
        <w:t xml:space="preserve">5.1.2.2 </w:t>
      </w:r>
      <w:r>
        <w:rPr>
          <w:b/>
        </w:rPr>
        <w:tab/>
        <w:t xml:space="preserve">Nuevas Recomendaciones 2020 </w:t>
      </w:r>
    </w:p>
    <w:p w:rsidR="0076001D" w:rsidRDefault="0034129A">
      <w:pPr>
        <w:spacing w:after="0" w:line="259" w:lineRule="auto"/>
        <w:ind w:left="0" w:firstLine="0"/>
        <w:jc w:val="left"/>
      </w:pPr>
      <w:r>
        <w:rPr>
          <w:b/>
          <w:sz w:val="27"/>
        </w:rPr>
        <w:t xml:space="preserve"> </w:t>
      </w:r>
    </w:p>
    <w:tbl>
      <w:tblPr>
        <w:tblStyle w:val="TableGrid"/>
        <w:tblW w:w="9605" w:type="dxa"/>
        <w:tblInd w:w="164" w:type="dxa"/>
        <w:tblCellMar>
          <w:top w:w="8" w:type="dxa"/>
          <w:left w:w="5" w:type="dxa"/>
        </w:tblCellMar>
        <w:tblLook w:val="04A0" w:firstRow="1" w:lastRow="0" w:firstColumn="1" w:lastColumn="0" w:noHBand="0" w:noVBand="1"/>
      </w:tblPr>
      <w:tblGrid>
        <w:gridCol w:w="574"/>
        <w:gridCol w:w="9031"/>
      </w:tblGrid>
      <w:tr w:rsidR="0076001D">
        <w:trPr>
          <w:trHeight w:val="257"/>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t xml:space="preserve">N°. </w:t>
            </w:r>
          </w:p>
        </w:tc>
        <w:tc>
          <w:tcPr>
            <w:tcW w:w="903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5" w:firstLine="0"/>
              <w:jc w:val="center"/>
            </w:pPr>
            <w:r>
              <w:rPr>
                <w:b/>
                <w:sz w:val="20"/>
              </w:rPr>
              <w:t xml:space="preserve">Recomendación 2020 </w:t>
            </w:r>
          </w:p>
        </w:tc>
      </w:tr>
      <w:tr w:rsidR="0076001D">
        <w:trPr>
          <w:trHeight w:val="472"/>
        </w:trPr>
        <w:tc>
          <w:tcPr>
            <w:tcW w:w="57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0" w:right="-9" w:firstLine="0"/>
              <w:jc w:val="right"/>
            </w:pPr>
            <w:r>
              <w:rPr>
                <w:sz w:val="20"/>
              </w:rPr>
              <w:t>1</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Atender las recomendaciones que se encuentran con flecha roja y/o amarilla del tablero de seguimiento a las recomendaciones 2019. </w:t>
            </w:r>
          </w:p>
        </w:tc>
      </w:tr>
      <w:tr w:rsidR="0076001D">
        <w:trPr>
          <w:trHeight w:val="929"/>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9"/>
              </w:rPr>
              <w:t xml:space="preserve"> </w:t>
            </w:r>
          </w:p>
          <w:p w:rsidR="0076001D" w:rsidRDefault="0034129A">
            <w:pPr>
              <w:spacing w:after="0" w:line="259" w:lineRule="auto"/>
              <w:ind w:left="0" w:right="-9" w:firstLine="0"/>
              <w:jc w:val="right"/>
            </w:pPr>
            <w:r>
              <w:rPr>
                <w:sz w:val="20"/>
              </w:rPr>
              <w:t>2</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12" w:firstLine="0"/>
            </w:pPr>
            <w:r>
              <w:rPr>
                <w:sz w:val="20"/>
              </w:rPr>
              <w:t xml:space="preserve">En las renovaciones de contratos con personas naturales, optimizar las obligaciones </w:t>
            </w:r>
            <w:proofErr w:type="spellStart"/>
            <w:r>
              <w:rPr>
                <w:sz w:val="20"/>
              </w:rPr>
              <w:t>especificas</w:t>
            </w:r>
            <w:proofErr w:type="spellEnd"/>
            <w:r>
              <w:rPr>
                <w:sz w:val="20"/>
              </w:rPr>
              <w:t xml:space="preserve"> y los productos con el fin de garantizar entregables distintos o complementarios. Esto con el fin de optimizar la inversión. Solicitar al responsable del contrato 21 de 2020 la entrega de la declaración de aplicabilidad del MSPI, para identificar productos puntales. </w:t>
            </w:r>
          </w:p>
        </w:tc>
      </w:tr>
    </w:tbl>
    <w:p w:rsidR="0076001D" w:rsidRDefault="0034129A">
      <w:pPr>
        <w:spacing w:after="158" w:line="259" w:lineRule="auto"/>
        <w:ind w:left="0" w:firstLine="0"/>
        <w:jc w:val="left"/>
      </w:pPr>
      <w:r>
        <w:rPr>
          <w:b/>
          <w:sz w:val="14"/>
        </w:rPr>
        <w:t xml:space="preserve"> </w:t>
      </w:r>
    </w:p>
    <w:p w:rsidR="0076001D" w:rsidRDefault="0034129A">
      <w:pPr>
        <w:pStyle w:val="Ttulo3"/>
        <w:ind w:left="538"/>
      </w:pPr>
      <w:r>
        <w:t xml:space="preserve">5.1.3 Plan de Administración de Riesgos y Contingencias </w:t>
      </w:r>
    </w:p>
    <w:p w:rsidR="0076001D" w:rsidRDefault="0034129A">
      <w:pPr>
        <w:spacing w:after="2" w:line="259" w:lineRule="auto"/>
        <w:ind w:left="0" w:firstLine="0"/>
        <w:jc w:val="left"/>
      </w:pPr>
      <w:r>
        <w:rPr>
          <w:b/>
          <w:sz w:val="20"/>
        </w:rPr>
        <w:t xml:space="preserve"> </w:t>
      </w:r>
    </w:p>
    <w:p w:rsidR="0076001D" w:rsidRDefault="0034129A">
      <w:pPr>
        <w:pStyle w:val="Ttulo4"/>
        <w:tabs>
          <w:tab w:val="center" w:pos="870"/>
          <w:tab w:val="center" w:pos="5248"/>
        </w:tabs>
        <w:ind w:left="0" w:firstLine="0"/>
      </w:pPr>
      <w:r>
        <w:rPr>
          <w:rFonts w:ascii="Calibri" w:eastAsia="Calibri" w:hAnsi="Calibri" w:cs="Calibri"/>
          <w:b w:val="0"/>
        </w:rPr>
        <w:tab/>
      </w:r>
      <w:r>
        <w:t xml:space="preserve">5.1.3.1 </w:t>
      </w:r>
      <w:r>
        <w:tab/>
        <w:t xml:space="preserve">Administración y tratamiento de Riesgos </w:t>
      </w:r>
    </w:p>
    <w:p w:rsidR="0076001D" w:rsidRDefault="0034129A">
      <w:pPr>
        <w:spacing w:after="0" w:line="259" w:lineRule="auto"/>
        <w:ind w:left="0" w:firstLine="0"/>
        <w:jc w:val="left"/>
      </w:pPr>
      <w:r>
        <w:rPr>
          <w:b/>
          <w:sz w:val="20"/>
        </w:rPr>
        <w:t xml:space="preserve"> </w:t>
      </w:r>
    </w:p>
    <w:p w:rsidR="0076001D" w:rsidRDefault="0034129A">
      <w:pPr>
        <w:spacing w:after="12" w:line="259" w:lineRule="auto"/>
        <w:ind w:left="0" w:firstLine="0"/>
        <w:jc w:val="left"/>
      </w:pPr>
      <w:r>
        <w:rPr>
          <w:b/>
          <w:sz w:val="20"/>
        </w:rPr>
        <w:lastRenderedPageBreak/>
        <w:t xml:space="preserve"> </w:t>
      </w:r>
    </w:p>
    <w:p w:rsidR="0076001D" w:rsidRDefault="0034129A">
      <w:pPr>
        <w:spacing w:after="0" w:line="259" w:lineRule="auto"/>
        <w:ind w:left="0" w:right="8776" w:firstLine="0"/>
        <w:jc w:val="left"/>
      </w:pPr>
      <w:r>
        <w:rPr>
          <w:b/>
        </w:rPr>
        <w:t xml:space="preserve"> </w:t>
      </w:r>
    </w:p>
    <w:p w:rsidR="0076001D" w:rsidRDefault="0034129A">
      <w:pPr>
        <w:spacing w:after="55"/>
        <w:ind w:left="914"/>
      </w:pPr>
      <w:r>
        <w:rPr>
          <w:noProof/>
          <w:lang w:val="es-ES" w:eastAsia="es-ES"/>
        </w:rPr>
        <w:drawing>
          <wp:inline distT="0" distB="0" distL="0" distR="0">
            <wp:extent cx="227546" cy="136525"/>
            <wp:effectExtent l="0" t="0" r="0" b="0"/>
            <wp:docPr id="8181" name="Picture 8181"/>
            <wp:cNvGraphicFramePr/>
            <a:graphic xmlns:a="http://schemas.openxmlformats.org/drawingml/2006/main">
              <a:graphicData uri="http://schemas.openxmlformats.org/drawingml/2006/picture">
                <pic:pic xmlns:pic="http://schemas.openxmlformats.org/drawingml/2006/picture">
                  <pic:nvPicPr>
                    <pic:cNvPr id="8181" name="Picture 8181"/>
                    <pic:cNvPicPr/>
                  </pic:nvPicPr>
                  <pic:blipFill>
                    <a:blip r:embed="rId8"/>
                    <a:stretch>
                      <a:fillRect/>
                    </a:stretch>
                  </pic:blipFill>
                  <pic:spPr>
                    <a:xfrm>
                      <a:off x="0" y="0"/>
                      <a:ext cx="227546" cy="136525"/>
                    </a:xfrm>
                    <a:prstGeom prst="rect">
                      <a:avLst/>
                    </a:prstGeom>
                  </pic:spPr>
                </pic:pic>
              </a:graphicData>
            </a:graphic>
          </wp:inline>
        </w:drawing>
      </w:r>
      <w:r>
        <w:t xml:space="preserve"> En el marco de la estrategia anticorrupción el IDEP cuenta con los instrumentos </w:t>
      </w:r>
      <w:r>
        <w:rPr>
          <w:i/>
        </w:rPr>
        <w:t xml:space="preserve">PO- MIC-03-02_Politica_Admon_riesgo_V1.pdf e IN-MIC-03-04 Instructivo para la administración del riesgo del 2018, </w:t>
      </w:r>
      <w:r>
        <w:t xml:space="preserve">este último menciona los riesgos tecnológicos, pero no los articula con los activos de información de la entidad, conforme a los lineamientos de Gobierno Digital y en especial al MSPI que se basa en la norma ISO 27001:2013, que se adopta en el MANUAL DEL SISTEMA INTEGRADO DE GESTIÓN, con referencia al Subsistema de Gestión de Seguridad de la Información. </w:t>
      </w:r>
    </w:p>
    <w:p w:rsidR="0076001D" w:rsidRDefault="0034129A">
      <w:pPr>
        <w:ind w:left="914"/>
      </w:pPr>
      <w:r>
        <w:rPr>
          <w:noProof/>
          <w:lang w:val="es-ES" w:eastAsia="es-ES"/>
        </w:rPr>
        <w:drawing>
          <wp:anchor distT="0" distB="0" distL="114300" distR="114300" simplePos="0" relativeHeight="251665408" behindDoc="0" locked="0" layoutInCell="1" allowOverlap="0">
            <wp:simplePos x="0" y="0"/>
            <wp:positionH relativeFrom="page">
              <wp:posOffset>4744720</wp:posOffset>
            </wp:positionH>
            <wp:positionV relativeFrom="page">
              <wp:posOffset>9120505</wp:posOffset>
            </wp:positionV>
            <wp:extent cx="1998345" cy="647065"/>
            <wp:effectExtent l="0" t="0" r="0" b="0"/>
            <wp:wrapTopAndBottom/>
            <wp:docPr id="7972" name="Picture 7972"/>
            <wp:cNvGraphicFramePr/>
            <a:graphic xmlns:a="http://schemas.openxmlformats.org/drawingml/2006/main">
              <a:graphicData uri="http://schemas.openxmlformats.org/drawingml/2006/picture">
                <pic:pic xmlns:pic="http://schemas.openxmlformats.org/drawingml/2006/picture">
                  <pic:nvPicPr>
                    <pic:cNvPr id="7972" name="Picture 7972"/>
                    <pic:cNvPicPr/>
                  </pic:nvPicPr>
                  <pic:blipFill>
                    <a:blip r:embed="rId83"/>
                    <a:stretch>
                      <a:fillRect/>
                    </a:stretch>
                  </pic:blipFill>
                  <pic:spPr>
                    <a:xfrm>
                      <a:off x="0" y="0"/>
                      <a:ext cx="1998345" cy="647065"/>
                    </a:xfrm>
                    <a:prstGeom prst="rect">
                      <a:avLst/>
                    </a:prstGeom>
                  </pic:spPr>
                </pic:pic>
              </a:graphicData>
            </a:graphic>
          </wp:anchor>
        </w:drawing>
      </w:r>
      <w:r>
        <w:rPr>
          <w:noProof/>
          <w:lang w:val="es-ES" w:eastAsia="es-ES"/>
        </w:rPr>
        <w:drawing>
          <wp:inline distT="0" distB="0" distL="0" distR="0">
            <wp:extent cx="227546" cy="136525"/>
            <wp:effectExtent l="0" t="0" r="0" b="0"/>
            <wp:docPr id="8183" name="Picture 8183"/>
            <wp:cNvGraphicFramePr/>
            <a:graphic xmlns:a="http://schemas.openxmlformats.org/drawingml/2006/main">
              <a:graphicData uri="http://schemas.openxmlformats.org/drawingml/2006/picture">
                <pic:pic xmlns:pic="http://schemas.openxmlformats.org/drawingml/2006/picture">
                  <pic:nvPicPr>
                    <pic:cNvPr id="8183" name="Picture 8183"/>
                    <pic:cNvPicPr/>
                  </pic:nvPicPr>
                  <pic:blipFill>
                    <a:blip r:embed="rId8"/>
                    <a:stretch>
                      <a:fillRect/>
                    </a:stretch>
                  </pic:blipFill>
                  <pic:spPr>
                    <a:xfrm>
                      <a:off x="0" y="0"/>
                      <a:ext cx="227546" cy="136525"/>
                    </a:xfrm>
                    <a:prstGeom prst="rect">
                      <a:avLst/>
                    </a:prstGeom>
                  </pic:spPr>
                </pic:pic>
              </a:graphicData>
            </a:graphic>
          </wp:inline>
        </w:drawing>
      </w:r>
      <w:r>
        <w:t xml:space="preserve"> A su vez, el </w:t>
      </w:r>
      <w:r>
        <w:rPr>
          <w:i/>
        </w:rPr>
        <w:t>Seguimiento I Mapa Riesgos Institucional y de Corrupción por Proceso 2020 abril-1_1.xlsx</w:t>
      </w:r>
      <w:r>
        <w:t xml:space="preserve">, se encuentra diligenciado para el proceso de Gestión Tecnológica y la vigencia 2020 y es objeto de seguimiento trimestral a la implementación de los controles establecidos para el tratamiento de cada uno de los riesgos y su valoración en términos de probabilidad de ocurrencia e impacto de su materialización. En el  documento se observa que solo existen cuatro riesgos los cuales no dan cubrimiento a la totalidad de los riesgos tecnológicos y de seguridad de la información de manera alineada con la implementación MSPI, que establece la relación entre los riegos, los activos de información y los controles de la norma ISO 27002:2013. Esto es fundamental para garantizar que se diseñan controles efectivos para dar tratamiento al riesgo y planes de contingencia efectivos en caso de la materialización de los riesgos. Sobre los controles propuestos se emiten algunas observaciones </w:t>
      </w:r>
    </w:p>
    <w:p w:rsidR="0076001D" w:rsidRDefault="0034129A">
      <w:pPr>
        <w:spacing w:after="0" w:line="259" w:lineRule="auto"/>
        <w:ind w:left="0" w:firstLine="0"/>
        <w:jc w:val="left"/>
      </w:pPr>
      <w:r>
        <w:rPr>
          <w:sz w:val="20"/>
        </w:rPr>
        <w:t xml:space="preserve"> </w:t>
      </w:r>
    </w:p>
    <w:p w:rsidR="0076001D" w:rsidRDefault="0034129A">
      <w:pPr>
        <w:spacing w:after="31" w:line="259" w:lineRule="auto"/>
        <w:ind w:left="0" w:firstLine="0"/>
        <w:jc w:val="left"/>
      </w:pPr>
      <w:r>
        <w:rPr>
          <w:sz w:val="20"/>
        </w:rPr>
        <w:t xml:space="preserve"> </w:t>
      </w:r>
    </w:p>
    <w:p w:rsidR="0076001D" w:rsidRDefault="0034129A">
      <w:pPr>
        <w:spacing w:after="0" w:line="259" w:lineRule="auto"/>
        <w:ind w:left="0" w:firstLine="0"/>
        <w:jc w:val="left"/>
      </w:pPr>
      <w:r>
        <w:rPr>
          <w:sz w:val="24"/>
        </w:rPr>
        <w:t xml:space="preserve"> </w:t>
      </w:r>
    </w:p>
    <w:tbl>
      <w:tblPr>
        <w:tblStyle w:val="TableGrid"/>
        <w:tblW w:w="9183" w:type="dxa"/>
        <w:tblInd w:w="524" w:type="dxa"/>
        <w:tblCellMar>
          <w:top w:w="6" w:type="dxa"/>
          <w:left w:w="5" w:type="dxa"/>
          <w:right w:w="75" w:type="dxa"/>
        </w:tblCellMar>
        <w:tblLook w:val="04A0" w:firstRow="1" w:lastRow="0" w:firstColumn="1" w:lastColumn="0" w:noHBand="0" w:noVBand="1"/>
      </w:tblPr>
      <w:tblGrid>
        <w:gridCol w:w="2300"/>
        <w:gridCol w:w="2835"/>
        <w:gridCol w:w="4048"/>
      </w:tblGrid>
      <w:tr w:rsidR="0076001D">
        <w:trPr>
          <w:trHeight w:val="425"/>
        </w:trPr>
        <w:tc>
          <w:tcPr>
            <w:tcW w:w="2300" w:type="dxa"/>
            <w:tcBorders>
              <w:top w:val="single" w:sz="4" w:space="0" w:color="000000"/>
              <w:left w:val="single" w:sz="4" w:space="0" w:color="000000"/>
              <w:bottom w:val="single" w:sz="4" w:space="0" w:color="000000"/>
              <w:right w:val="single" w:sz="4" w:space="0" w:color="000000"/>
            </w:tcBorders>
            <w:shd w:val="clear" w:color="auto" w:fill="2E75B5"/>
            <w:vAlign w:val="center"/>
          </w:tcPr>
          <w:p w:rsidR="0076001D" w:rsidRDefault="0034129A">
            <w:pPr>
              <w:spacing w:after="0" w:line="259" w:lineRule="auto"/>
              <w:ind w:left="76" w:firstLine="0"/>
              <w:jc w:val="center"/>
            </w:pPr>
            <w:r>
              <w:rPr>
                <w:b/>
                <w:color w:val="FFFFFF"/>
                <w:sz w:val="18"/>
              </w:rPr>
              <w:t>Riesgo</w:t>
            </w:r>
            <w:r>
              <w:rPr>
                <w:b/>
                <w:sz w:val="18"/>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2E75B5"/>
          </w:tcPr>
          <w:p w:rsidR="0076001D" w:rsidRDefault="0034129A">
            <w:pPr>
              <w:spacing w:after="0" w:line="259" w:lineRule="auto"/>
              <w:ind w:left="1013" w:hanging="574"/>
              <w:jc w:val="left"/>
            </w:pPr>
            <w:r>
              <w:rPr>
                <w:b/>
                <w:color w:val="FFFFFF"/>
                <w:sz w:val="18"/>
              </w:rPr>
              <w:t>Descripción del control Existente</w:t>
            </w:r>
            <w:r>
              <w:rPr>
                <w:b/>
                <w:sz w:val="18"/>
              </w:rPr>
              <w:t xml:space="preserve"> </w:t>
            </w:r>
          </w:p>
        </w:tc>
        <w:tc>
          <w:tcPr>
            <w:tcW w:w="4048" w:type="dxa"/>
            <w:tcBorders>
              <w:top w:val="single" w:sz="4" w:space="0" w:color="000000"/>
              <w:left w:val="single" w:sz="4" w:space="0" w:color="000000"/>
              <w:bottom w:val="single" w:sz="4" w:space="0" w:color="000000"/>
              <w:right w:val="single" w:sz="4" w:space="0" w:color="000000"/>
            </w:tcBorders>
            <w:shd w:val="clear" w:color="auto" w:fill="2E75B5"/>
          </w:tcPr>
          <w:p w:rsidR="0076001D" w:rsidRDefault="0034129A">
            <w:pPr>
              <w:spacing w:after="0" w:line="259" w:lineRule="auto"/>
              <w:ind w:left="75" w:firstLine="0"/>
              <w:jc w:val="center"/>
            </w:pPr>
            <w:r>
              <w:rPr>
                <w:b/>
                <w:color w:val="FFFFFF"/>
                <w:sz w:val="18"/>
              </w:rPr>
              <w:t>Observación (ver desarrollo en 4.2)</w:t>
            </w:r>
            <w:r>
              <w:rPr>
                <w:b/>
                <w:sz w:val="18"/>
              </w:rPr>
              <w:t xml:space="preserve"> </w:t>
            </w:r>
          </w:p>
        </w:tc>
      </w:tr>
      <w:tr w:rsidR="0076001D">
        <w:trPr>
          <w:trHeight w:val="3115"/>
        </w:trPr>
        <w:tc>
          <w:tcPr>
            <w:tcW w:w="2300"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116" w:line="259" w:lineRule="auto"/>
              <w:ind w:left="0" w:firstLine="0"/>
              <w:jc w:val="left"/>
            </w:pPr>
            <w:r>
              <w:rPr>
                <w:sz w:val="20"/>
              </w:rPr>
              <w:t xml:space="preserve"> </w:t>
            </w:r>
          </w:p>
          <w:p w:rsidR="0076001D" w:rsidRDefault="0034129A">
            <w:pPr>
              <w:spacing w:after="0" w:line="259" w:lineRule="auto"/>
              <w:ind w:left="70" w:firstLine="0"/>
              <w:jc w:val="left"/>
            </w:pPr>
            <w:r>
              <w:rPr>
                <w:sz w:val="18"/>
              </w:rPr>
              <w:t xml:space="preserve">Interrupción en la prestación de servicios tecnológicos a usuarios internos y externos en la entidad </w:t>
            </w: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2" w:line="259" w:lineRule="auto"/>
              <w:ind w:left="0" w:firstLine="0"/>
              <w:jc w:val="left"/>
            </w:pPr>
            <w:r>
              <w:rPr>
                <w:sz w:val="16"/>
              </w:rPr>
              <w:t xml:space="preserve"> </w:t>
            </w:r>
          </w:p>
          <w:p w:rsidR="0076001D" w:rsidRDefault="0034129A">
            <w:pPr>
              <w:spacing w:after="0" w:line="259" w:lineRule="auto"/>
              <w:ind w:left="70" w:firstLine="0"/>
              <w:jc w:val="left"/>
            </w:pPr>
            <w:r>
              <w:rPr>
                <w:sz w:val="18"/>
              </w:rPr>
              <w:t xml:space="preserve">Ejecutar el Plan de contingencia tecnológica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39" w:lineRule="auto"/>
              <w:ind w:left="67" w:firstLine="0"/>
              <w:jc w:val="left"/>
            </w:pPr>
            <w:r>
              <w:rPr>
                <w:sz w:val="18"/>
              </w:rPr>
              <w:t xml:space="preserve">Este control no es de tratamiento sino de contingencia en caso de materialización. </w:t>
            </w:r>
          </w:p>
          <w:p w:rsidR="0076001D" w:rsidRDefault="0034129A">
            <w:pPr>
              <w:spacing w:after="0" w:line="259" w:lineRule="auto"/>
              <w:ind w:left="0" w:firstLine="0"/>
              <w:jc w:val="left"/>
            </w:pPr>
            <w:r>
              <w:rPr>
                <w:sz w:val="17"/>
              </w:rPr>
              <w:t xml:space="preserve"> </w:t>
            </w:r>
          </w:p>
          <w:p w:rsidR="0076001D" w:rsidRDefault="0034129A">
            <w:pPr>
              <w:spacing w:after="0" w:line="239" w:lineRule="auto"/>
              <w:ind w:left="67" w:firstLine="0"/>
              <w:jc w:val="left"/>
            </w:pPr>
            <w:r>
              <w:rPr>
                <w:sz w:val="18"/>
              </w:rPr>
              <w:t xml:space="preserve">Esto se evidencia en las notas reportadas por la OAP en el monitoreó. </w:t>
            </w:r>
          </w:p>
          <w:p w:rsidR="0076001D" w:rsidRDefault="0034129A">
            <w:pPr>
              <w:spacing w:after="0" w:line="259" w:lineRule="auto"/>
              <w:ind w:left="0" w:firstLine="0"/>
              <w:jc w:val="left"/>
            </w:pPr>
            <w:r>
              <w:rPr>
                <w:sz w:val="17"/>
              </w:rPr>
              <w:t xml:space="preserve"> </w:t>
            </w:r>
          </w:p>
          <w:p w:rsidR="0076001D" w:rsidRDefault="0034129A">
            <w:pPr>
              <w:spacing w:after="6" w:line="240" w:lineRule="auto"/>
              <w:ind w:left="67" w:firstLine="0"/>
              <w:jc w:val="left"/>
            </w:pPr>
            <w:r>
              <w:rPr>
                <w:sz w:val="18"/>
              </w:rPr>
              <w:t xml:space="preserve">Es preciso resolver la causa raíz de manera definitiva, incrementando el tiempo de autonomía de la UPS de manera proporcional al tiempo requerido en el plan de continuidad para la acción de contingencia. </w:t>
            </w:r>
          </w:p>
          <w:p w:rsidR="0076001D" w:rsidRDefault="0034129A">
            <w:pPr>
              <w:spacing w:after="0" w:line="259" w:lineRule="auto"/>
              <w:ind w:left="0" w:firstLine="0"/>
              <w:jc w:val="left"/>
            </w:pPr>
            <w:r>
              <w:rPr>
                <w:sz w:val="18"/>
              </w:rPr>
              <w:t xml:space="preserve"> </w:t>
            </w:r>
          </w:p>
          <w:p w:rsidR="0076001D" w:rsidRDefault="0034129A">
            <w:pPr>
              <w:spacing w:after="0" w:line="259" w:lineRule="auto"/>
              <w:ind w:left="67" w:firstLine="0"/>
              <w:jc w:val="left"/>
            </w:pPr>
            <w:r>
              <w:rPr>
                <w:sz w:val="18"/>
              </w:rPr>
              <w:t xml:space="preserve">No se observa la inclusión de un control asociado a planes de continuidad en contratos de servicios SAAS. </w:t>
            </w:r>
          </w:p>
        </w:tc>
      </w:tr>
      <w:tr w:rsidR="0076001D">
        <w:trPr>
          <w:trHeight w:val="1459"/>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sz w:val="26"/>
              </w:rPr>
              <w:t xml:space="preserve"> </w:t>
            </w:r>
          </w:p>
          <w:p w:rsidR="0076001D" w:rsidRDefault="0034129A">
            <w:pPr>
              <w:spacing w:after="0" w:line="259" w:lineRule="auto"/>
              <w:ind w:left="70" w:firstLine="0"/>
              <w:jc w:val="left"/>
            </w:pPr>
            <w:r>
              <w:rPr>
                <w:sz w:val="18"/>
              </w:rPr>
              <w:t xml:space="preserve">Realizar Mantenimiento a la infraestructura tecnológica de acuerdo al procedimiento establecido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7" w:firstLine="0"/>
              <w:jc w:val="left"/>
            </w:pPr>
            <w:r>
              <w:rPr>
                <w:sz w:val="18"/>
              </w:rPr>
              <w:t xml:space="preserve">Aplica ya que es un control preventivo. </w:t>
            </w:r>
          </w:p>
          <w:p w:rsidR="0076001D" w:rsidRDefault="0034129A">
            <w:pPr>
              <w:spacing w:after="0" w:line="259" w:lineRule="auto"/>
              <w:ind w:left="0" w:firstLine="0"/>
              <w:jc w:val="left"/>
            </w:pPr>
            <w:r>
              <w:rPr>
                <w:sz w:val="17"/>
              </w:rPr>
              <w:t xml:space="preserve"> </w:t>
            </w:r>
          </w:p>
          <w:p w:rsidR="0076001D" w:rsidRDefault="0034129A">
            <w:pPr>
              <w:spacing w:after="0" w:line="259" w:lineRule="auto"/>
              <w:ind w:left="67" w:firstLine="0"/>
              <w:jc w:val="left"/>
            </w:pPr>
            <w:r>
              <w:rPr>
                <w:sz w:val="18"/>
              </w:rPr>
              <w:t xml:space="preserve">Se observa mejora en la construcción de instructivos y manuales sobre cada activo de gestión de operación y seguridad tales como Firewall, Antivirus, Seguridad de dominio y seguridad local de </w:t>
            </w:r>
            <w:proofErr w:type="spellStart"/>
            <w:r>
              <w:rPr>
                <w:sz w:val="18"/>
              </w:rPr>
              <w:t>PC´s</w:t>
            </w:r>
            <w:proofErr w:type="spellEnd"/>
            <w:r>
              <w:rPr>
                <w:sz w:val="18"/>
              </w:rPr>
              <w:t xml:space="preserve"> </w:t>
            </w:r>
          </w:p>
        </w:tc>
      </w:tr>
    </w:tbl>
    <w:p w:rsidR="0076001D" w:rsidRDefault="0034129A">
      <w:pPr>
        <w:spacing w:after="0" w:line="259" w:lineRule="auto"/>
        <w:ind w:left="0" w:firstLine="0"/>
      </w:pPr>
      <w:r>
        <w:rPr>
          <w:rFonts w:ascii="Times New Roman" w:eastAsia="Times New Roman" w:hAnsi="Times New Roman" w:cs="Times New Roman"/>
        </w:rPr>
        <w:t xml:space="preserve"> </w:t>
      </w:r>
    </w:p>
    <w:tbl>
      <w:tblPr>
        <w:tblStyle w:val="TableGrid"/>
        <w:tblW w:w="9183" w:type="dxa"/>
        <w:tblInd w:w="524" w:type="dxa"/>
        <w:tblCellMar>
          <w:top w:w="6" w:type="dxa"/>
          <w:left w:w="5" w:type="dxa"/>
          <w:right w:w="24" w:type="dxa"/>
        </w:tblCellMar>
        <w:tblLook w:val="04A0" w:firstRow="1" w:lastRow="0" w:firstColumn="1" w:lastColumn="0" w:noHBand="0" w:noVBand="1"/>
      </w:tblPr>
      <w:tblGrid>
        <w:gridCol w:w="2300"/>
        <w:gridCol w:w="2835"/>
        <w:gridCol w:w="4048"/>
      </w:tblGrid>
      <w:tr w:rsidR="0076001D">
        <w:trPr>
          <w:trHeight w:val="422"/>
        </w:trPr>
        <w:tc>
          <w:tcPr>
            <w:tcW w:w="2300" w:type="dxa"/>
            <w:tcBorders>
              <w:top w:val="single" w:sz="4" w:space="0" w:color="000000"/>
              <w:left w:val="single" w:sz="4" w:space="0" w:color="000000"/>
              <w:bottom w:val="single" w:sz="4" w:space="0" w:color="000000"/>
              <w:right w:val="single" w:sz="4" w:space="0" w:color="000000"/>
            </w:tcBorders>
            <w:shd w:val="clear" w:color="auto" w:fill="2E75B5"/>
            <w:vAlign w:val="center"/>
          </w:tcPr>
          <w:p w:rsidR="0076001D" w:rsidRDefault="0034129A">
            <w:pPr>
              <w:spacing w:after="0" w:line="259" w:lineRule="auto"/>
              <w:ind w:left="25" w:firstLine="0"/>
              <w:jc w:val="center"/>
            </w:pPr>
            <w:r>
              <w:rPr>
                <w:b/>
                <w:color w:val="FFFFFF"/>
                <w:sz w:val="18"/>
              </w:rPr>
              <w:lastRenderedPageBreak/>
              <w:t>Riesgo</w:t>
            </w:r>
            <w:r>
              <w:rPr>
                <w:b/>
                <w:sz w:val="18"/>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2E75B5"/>
          </w:tcPr>
          <w:p w:rsidR="0076001D" w:rsidRDefault="0034129A">
            <w:pPr>
              <w:spacing w:after="0" w:line="259" w:lineRule="auto"/>
              <w:ind w:left="1013" w:hanging="574"/>
              <w:jc w:val="left"/>
            </w:pPr>
            <w:r>
              <w:rPr>
                <w:b/>
                <w:color w:val="FFFFFF"/>
                <w:sz w:val="18"/>
              </w:rPr>
              <w:t>Descripción del control Existente</w:t>
            </w:r>
            <w:r>
              <w:rPr>
                <w:b/>
                <w:sz w:val="18"/>
              </w:rPr>
              <w:t xml:space="preserve"> </w:t>
            </w:r>
          </w:p>
        </w:tc>
        <w:tc>
          <w:tcPr>
            <w:tcW w:w="4048" w:type="dxa"/>
            <w:tcBorders>
              <w:top w:val="single" w:sz="4" w:space="0" w:color="000000"/>
              <w:left w:val="single" w:sz="4" w:space="0" w:color="000000"/>
              <w:bottom w:val="single" w:sz="4" w:space="0" w:color="000000"/>
              <w:right w:val="single" w:sz="4" w:space="0" w:color="000000"/>
            </w:tcBorders>
            <w:shd w:val="clear" w:color="auto" w:fill="2E75B5"/>
          </w:tcPr>
          <w:p w:rsidR="0076001D" w:rsidRDefault="0034129A">
            <w:pPr>
              <w:spacing w:after="0" w:line="259" w:lineRule="auto"/>
              <w:ind w:left="24" w:firstLine="0"/>
              <w:jc w:val="center"/>
            </w:pPr>
            <w:r>
              <w:rPr>
                <w:b/>
                <w:color w:val="FFFFFF"/>
                <w:sz w:val="18"/>
              </w:rPr>
              <w:t>Observación (ver desarrollo en 4.2)</w:t>
            </w:r>
            <w:r>
              <w:rPr>
                <w:b/>
                <w:sz w:val="18"/>
              </w:rPr>
              <w:t xml:space="preserve"> </w:t>
            </w:r>
          </w:p>
        </w:tc>
      </w:tr>
      <w:tr w:rsidR="0076001D">
        <w:trPr>
          <w:trHeight w:val="1252"/>
        </w:trPr>
        <w:tc>
          <w:tcPr>
            <w:tcW w:w="2300"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6"/>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70" w:firstLine="0"/>
              <w:jc w:val="left"/>
            </w:pPr>
            <w:r>
              <w:rPr>
                <w:sz w:val="18"/>
              </w:rPr>
              <w:t xml:space="preserve">Realizar seguimiento a los acuerdos de nivel de servicio establecido con cada uno de los proveedores de los sistemas de información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7" w:firstLine="0"/>
              <w:jc w:val="left"/>
            </w:pPr>
            <w:r>
              <w:rPr>
                <w:sz w:val="18"/>
              </w:rPr>
              <w:t xml:space="preserve">Aplica ya que es un control preventivo.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67" w:firstLine="0"/>
              <w:jc w:val="left"/>
            </w:pPr>
            <w:r>
              <w:rPr>
                <w:sz w:val="18"/>
              </w:rPr>
              <w:t xml:space="preserve">Se presentan evidencias de seguimiento manual a los ANS, pero no de su integración a la mesa de servicio, ni de las acciones correctivas frente a su incumplimiento. </w:t>
            </w:r>
          </w:p>
        </w:tc>
      </w:tr>
      <w:tr w:rsidR="0076001D">
        <w:trPr>
          <w:trHeight w:val="835"/>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Realizar seguimiento a las actividades programada a ejecutar en la vigencia en el plan de tecnología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7" w:firstLine="0"/>
              <w:jc w:val="left"/>
            </w:pPr>
            <w:r>
              <w:rPr>
                <w:sz w:val="18"/>
              </w:rPr>
              <w:t xml:space="preserve">Aplica ya que es un control preventivo. </w:t>
            </w:r>
          </w:p>
        </w:tc>
      </w:tr>
      <w:tr w:rsidR="0076001D">
        <w:trPr>
          <w:trHeight w:val="1049"/>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7"/>
              </w:rPr>
              <w:t xml:space="preserve"> </w:t>
            </w:r>
          </w:p>
          <w:p w:rsidR="0076001D" w:rsidRDefault="0034129A">
            <w:pPr>
              <w:spacing w:after="0" w:line="259" w:lineRule="auto"/>
              <w:ind w:left="70" w:firstLine="0"/>
              <w:jc w:val="left"/>
            </w:pPr>
            <w:r>
              <w:rPr>
                <w:sz w:val="18"/>
              </w:rPr>
              <w:t xml:space="preserve">La inclusión de garantías del fabricante en los contrates.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7" w:firstLine="0"/>
              <w:jc w:val="left"/>
            </w:pPr>
            <w:r>
              <w:rPr>
                <w:sz w:val="18"/>
              </w:rPr>
              <w:t xml:space="preserve">Aplica ya que es un control preventivo.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67" w:firstLine="0"/>
              <w:jc w:val="left"/>
            </w:pPr>
            <w:r>
              <w:rPr>
                <w:sz w:val="18"/>
              </w:rPr>
              <w:t xml:space="preserve">Pero resulta insuficiente, ya que deben incluirse condiciones de contingencia y continuidad en la prestación de servicios por terceros. </w:t>
            </w:r>
          </w:p>
        </w:tc>
      </w:tr>
      <w:tr w:rsidR="0076001D">
        <w:trPr>
          <w:trHeight w:val="835"/>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Acceso restringido a los data center, donde se ubican los servidores, </w:t>
            </w:r>
            <w:proofErr w:type="spellStart"/>
            <w:r>
              <w:rPr>
                <w:sz w:val="18"/>
              </w:rPr>
              <w:t>switch</w:t>
            </w:r>
            <w:proofErr w:type="spellEnd"/>
            <w:r>
              <w:rPr>
                <w:sz w:val="18"/>
              </w:rPr>
              <w:t xml:space="preserve">, </w:t>
            </w:r>
            <w:proofErr w:type="spellStart"/>
            <w:r>
              <w:rPr>
                <w:sz w:val="18"/>
              </w:rPr>
              <w:t>appliance</w:t>
            </w:r>
            <w:proofErr w:type="spellEnd"/>
            <w:r>
              <w:rPr>
                <w:sz w:val="18"/>
              </w:rPr>
              <w:t xml:space="preserve"> firewall.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7" w:firstLine="0"/>
              <w:jc w:val="left"/>
            </w:pPr>
            <w:r>
              <w:rPr>
                <w:sz w:val="18"/>
              </w:rPr>
              <w:t xml:space="preserve">Aplica ya que es un control preventivo. </w:t>
            </w:r>
          </w:p>
        </w:tc>
      </w:tr>
      <w:tr w:rsidR="0076001D">
        <w:trPr>
          <w:trHeight w:val="631"/>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Efectuar los pagos de energía de la empresa ENEL - CONDENSA de forma individual por oficina.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7" w:firstLine="0"/>
              <w:jc w:val="left"/>
            </w:pPr>
            <w:r>
              <w:rPr>
                <w:sz w:val="18"/>
              </w:rPr>
              <w:t xml:space="preserve">No es un control TIC </w:t>
            </w:r>
          </w:p>
        </w:tc>
      </w:tr>
      <w:tr w:rsidR="0076001D">
        <w:trPr>
          <w:trHeight w:val="1044"/>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15" w:firstLine="0"/>
              <w:jc w:val="left"/>
            </w:pPr>
            <w:r>
              <w:rPr>
                <w:sz w:val="18"/>
              </w:rPr>
              <w:t xml:space="preserve">Implementar conexiones tipo VPN y mantener portátiles en óptimas condiciones como elementos que pueden ser prestados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7" w:firstLine="0"/>
              <w:jc w:val="left"/>
            </w:pPr>
            <w:r>
              <w:rPr>
                <w:sz w:val="18"/>
              </w:rPr>
              <w:t xml:space="preserve">Aplica ya que es un control preventivo. </w:t>
            </w:r>
          </w:p>
          <w:p w:rsidR="0076001D" w:rsidRDefault="0034129A">
            <w:pPr>
              <w:spacing w:after="0" w:line="259" w:lineRule="auto"/>
              <w:ind w:left="0" w:firstLine="0"/>
              <w:jc w:val="left"/>
            </w:pPr>
            <w:r>
              <w:rPr>
                <w:rFonts w:ascii="Times New Roman" w:eastAsia="Times New Roman" w:hAnsi="Times New Roman" w:cs="Times New Roman"/>
                <w:sz w:val="17"/>
              </w:rPr>
              <w:t xml:space="preserve"> </w:t>
            </w:r>
          </w:p>
          <w:p w:rsidR="0076001D" w:rsidRDefault="0034129A">
            <w:pPr>
              <w:spacing w:after="0" w:line="259" w:lineRule="auto"/>
              <w:ind w:left="67" w:firstLine="0"/>
              <w:jc w:val="left"/>
            </w:pPr>
            <w:r>
              <w:rPr>
                <w:sz w:val="18"/>
              </w:rPr>
              <w:t xml:space="preserve">Sin embargo, no se incluyen los controles de seguridad en los equipos ajenos al IDEP que se conectan a la VPN. </w:t>
            </w:r>
          </w:p>
        </w:tc>
      </w:tr>
      <w:tr w:rsidR="0076001D">
        <w:trPr>
          <w:trHeight w:val="1459"/>
        </w:trPr>
        <w:tc>
          <w:tcPr>
            <w:tcW w:w="2300"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24"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4"/>
              </w:rPr>
              <w:t xml:space="preserve"> </w:t>
            </w:r>
          </w:p>
          <w:p w:rsidR="0076001D" w:rsidRDefault="0034129A">
            <w:pPr>
              <w:spacing w:after="0" w:line="241" w:lineRule="auto"/>
              <w:ind w:left="70" w:right="19" w:firstLine="0"/>
              <w:jc w:val="left"/>
            </w:pPr>
            <w:r>
              <w:rPr>
                <w:sz w:val="18"/>
              </w:rPr>
              <w:t xml:space="preserve">Tener ataques informáticos a bases de datos, red de </w:t>
            </w:r>
          </w:p>
          <w:p w:rsidR="0076001D" w:rsidRDefault="0034129A">
            <w:pPr>
              <w:spacing w:after="0" w:line="259" w:lineRule="auto"/>
              <w:ind w:left="70" w:firstLine="0"/>
              <w:jc w:val="left"/>
            </w:pPr>
            <w:proofErr w:type="gramStart"/>
            <w:r>
              <w:rPr>
                <w:sz w:val="18"/>
              </w:rPr>
              <w:t>comunicaciones</w:t>
            </w:r>
            <w:proofErr w:type="gramEnd"/>
            <w:r>
              <w:rPr>
                <w:sz w:val="18"/>
              </w:rPr>
              <w:t xml:space="preserve">, sistemas de información y/o página web de la entidad. </w:t>
            </w: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16" w:firstLine="0"/>
              <w:jc w:val="left"/>
            </w:pPr>
            <w:r>
              <w:rPr>
                <w:sz w:val="18"/>
              </w:rPr>
              <w:t xml:space="preserve">Revisar que las políticas del dominio configuradas para que no se permita la instalación de programas en los equipos o servidores del Instituto por un perfil diferente al administrador, </w:t>
            </w:r>
            <w:proofErr w:type="gramStart"/>
            <w:r>
              <w:rPr>
                <w:sz w:val="18"/>
              </w:rPr>
              <w:t>está</w:t>
            </w:r>
            <w:proofErr w:type="gramEnd"/>
            <w:r>
              <w:rPr>
                <w:sz w:val="18"/>
              </w:rPr>
              <w:t xml:space="preserve"> funcionando correctamente. </w:t>
            </w:r>
          </w:p>
        </w:tc>
        <w:tc>
          <w:tcPr>
            <w:tcW w:w="4048"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2" w:line="239" w:lineRule="auto"/>
              <w:ind w:left="67" w:firstLine="0"/>
              <w:jc w:val="left"/>
            </w:pPr>
            <w:r>
              <w:rPr>
                <w:sz w:val="18"/>
              </w:rPr>
              <w:t xml:space="preserve">Los controles aplican ya que son de carácter preventivo y son consecuentes con las recomendaciones del informe de auditoría 2019. </w:t>
            </w:r>
          </w:p>
          <w:p w:rsidR="0076001D" w:rsidRDefault="0034129A">
            <w:pPr>
              <w:spacing w:after="0" w:line="259" w:lineRule="auto"/>
              <w:ind w:left="0" w:firstLine="0"/>
              <w:jc w:val="left"/>
            </w:pPr>
            <w:r>
              <w:rPr>
                <w:rFonts w:ascii="Times New Roman" w:eastAsia="Times New Roman" w:hAnsi="Times New Roman" w:cs="Times New Roman"/>
                <w:sz w:val="17"/>
              </w:rPr>
              <w:t xml:space="preserve"> </w:t>
            </w:r>
          </w:p>
          <w:p w:rsidR="0076001D" w:rsidRDefault="0034129A">
            <w:pPr>
              <w:spacing w:after="2" w:line="239" w:lineRule="auto"/>
              <w:ind w:left="67" w:firstLine="0"/>
              <w:jc w:val="left"/>
            </w:pPr>
            <w:r>
              <w:rPr>
                <w:sz w:val="18"/>
              </w:rPr>
              <w:t xml:space="preserve">Sin embargo, falta incluir controles de monitoreo tales como los registros de consolas del antivirus, alertas para red y los controles sobre bases de datos y sistemas de información </w:t>
            </w:r>
          </w:p>
          <w:p w:rsidR="0076001D" w:rsidRDefault="0034129A">
            <w:pPr>
              <w:spacing w:after="0" w:line="259" w:lineRule="auto"/>
              <w:ind w:left="0" w:firstLine="0"/>
              <w:jc w:val="left"/>
            </w:pPr>
            <w:r>
              <w:rPr>
                <w:rFonts w:ascii="Times New Roman" w:eastAsia="Times New Roman" w:hAnsi="Times New Roman" w:cs="Times New Roman"/>
                <w:sz w:val="17"/>
              </w:rPr>
              <w:t xml:space="preserve"> </w:t>
            </w:r>
          </w:p>
          <w:p w:rsidR="0076001D" w:rsidRDefault="0034129A">
            <w:pPr>
              <w:spacing w:after="0" w:line="259" w:lineRule="auto"/>
              <w:ind w:left="67" w:firstLine="0"/>
              <w:jc w:val="left"/>
            </w:pPr>
            <w:r>
              <w:rPr>
                <w:sz w:val="18"/>
              </w:rPr>
              <w:t xml:space="preserve">Las verificaciones de su efectividad de implementación se presentan en el numeral 5.2 </w:t>
            </w:r>
          </w:p>
        </w:tc>
      </w:tr>
      <w:tr w:rsidR="0076001D">
        <w:trPr>
          <w:trHeight w:val="1253"/>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Gestionar la consola de administración del antivirus y tomar las acciones correctivas necesarias para garantizar que la herramienta está funcionando correctamente.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1873"/>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Configurar el firewall adoptando las categorías identificadas por el fabricante (</w:t>
            </w:r>
            <w:proofErr w:type="spellStart"/>
            <w:r>
              <w:rPr>
                <w:sz w:val="18"/>
              </w:rPr>
              <w:t>fortinet</w:t>
            </w:r>
            <w:proofErr w:type="spellEnd"/>
            <w:r>
              <w:rPr>
                <w:sz w:val="18"/>
              </w:rPr>
              <w:t xml:space="preserve">), como potencialmente riesgosas, de tal forma que los equipos conectados a la red LAN no tengan acceso a los sitios o aplicaciones que estén en dichas categorías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1459"/>
        </w:trPr>
        <w:tc>
          <w:tcPr>
            <w:tcW w:w="230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lastRenderedPageBreak/>
              <w:t xml:space="preserve">Trámite de reclamos ante la Superintendencia de Industria y Comercio por parte de usuarios del IDEP por no dar respuesta a consultas o reclamos con respecto a la corrección, </w:t>
            </w: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Aplicar los lineamientos establecidos en el PRO-GD-07- 14 Atención peticiones, quejas, reclamos y solicitudes y el MN- AC-10-03 Manual para la gestión de peticiones y el MANUAL INTERNO DE POLÍTICAS Y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5" w:line="239" w:lineRule="auto"/>
              <w:ind w:left="67" w:firstLine="0"/>
              <w:jc w:val="left"/>
            </w:pPr>
            <w:r>
              <w:rPr>
                <w:sz w:val="18"/>
              </w:rPr>
              <w:t xml:space="preserve">El control establecido no es de carácter tecnológico, toda vez que el procedimiento no garantiza la protección de las fuentes de datos donde reposan los datos personales.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67" w:firstLine="0"/>
              <w:jc w:val="left"/>
            </w:pPr>
            <w:r>
              <w:rPr>
                <w:sz w:val="18"/>
              </w:rPr>
              <w:t xml:space="preserve">No se incluyen acciones de protección sobre las bases de datos y archivos que alojan los datos. </w:t>
            </w:r>
          </w:p>
        </w:tc>
      </w:tr>
    </w:tbl>
    <w:p w:rsidR="0076001D" w:rsidRDefault="0076001D">
      <w:pPr>
        <w:sectPr w:rsidR="0076001D">
          <w:headerReference w:type="even" r:id="rId109"/>
          <w:headerReference w:type="default" r:id="rId110"/>
          <w:footerReference w:type="even" r:id="rId111"/>
          <w:footerReference w:type="default" r:id="rId112"/>
          <w:headerReference w:type="first" r:id="rId113"/>
          <w:footerReference w:type="first" r:id="rId114"/>
          <w:pgSz w:w="12240" w:h="15840"/>
          <w:pgMar w:top="1950" w:right="1404" w:bottom="1462" w:left="1159" w:header="540" w:footer="392" w:gutter="0"/>
          <w:cols w:space="720"/>
        </w:sectPr>
      </w:pPr>
    </w:p>
    <w:p w:rsidR="0076001D" w:rsidRDefault="0034129A">
      <w:pPr>
        <w:spacing w:after="0" w:line="259" w:lineRule="auto"/>
        <w:ind w:left="0" w:firstLine="0"/>
        <w:jc w:val="left"/>
      </w:pPr>
      <w:r>
        <w:rPr>
          <w:rFonts w:ascii="Times New Roman" w:eastAsia="Times New Roman" w:hAnsi="Times New Roman" w:cs="Times New Roman"/>
        </w:rPr>
        <w:lastRenderedPageBreak/>
        <w:t xml:space="preserve"> </w:t>
      </w:r>
    </w:p>
    <w:tbl>
      <w:tblPr>
        <w:tblStyle w:val="TableGrid"/>
        <w:tblW w:w="9183" w:type="dxa"/>
        <w:tblInd w:w="524" w:type="dxa"/>
        <w:tblCellMar>
          <w:top w:w="6" w:type="dxa"/>
          <w:left w:w="5" w:type="dxa"/>
          <w:right w:w="34" w:type="dxa"/>
        </w:tblCellMar>
        <w:tblLook w:val="04A0" w:firstRow="1" w:lastRow="0" w:firstColumn="1" w:lastColumn="0" w:noHBand="0" w:noVBand="1"/>
      </w:tblPr>
      <w:tblGrid>
        <w:gridCol w:w="2300"/>
        <w:gridCol w:w="2835"/>
        <w:gridCol w:w="4048"/>
      </w:tblGrid>
      <w:tr w:rsidR="0076001D">
        <w:trPr>
          <w:trHeight w:val="422"/>
        </w:trPr>
        <w:tc>
          <w:tcPr>
            <w:tcW w:w="2300" w:type="dxa"/>
            <w:tcBorders>
              <w:top w:val="single" w:sz="4" w:space="0" w:color="000000"/>
              <w:left w:val="single" w:sz="4" w:space="0" w:color="000000"/>
              <w:bottom w:val="single" w:sz="4" w:space="0" w:color="000000"/>
              <w:right w:val="single" w:sz="4" w:space="0" w:color="000000"/>
            </w:tcBorders>
            <w:shd w:val="clear" w:color="auto" w:fill="2E75B5"/>
            <w:vAlign w:val="center"/>
          </w:tcPr>
          <w:p w:rsidR="0076001D" w:rsidRDefault="0034129A">
            <w:pPr>
              <w:spacing w:after="0" w:line="259" w:lineRule="auto"/>
              <w:ind w:left="35" w:firstLine="0"/>
              <w:jc w:val="center"/>
            </w:pPr>
            <w:r>
              <w:rPr>
                <w:b/>
                <w:color w:val="FFFFFF"/>
                <w:sz w:val="18"/>
              </w:rPr>
              <w:t>Riesgo</w:t>
            </w:r>
            <w:r>
              <w:rPr>
                <w:b/>
                <w:sz w:val="18"/>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2E75B5"/>
          </w:tcPr>
          <w:p w:rsidR="0076001D" w:rsidRDefault="0034129A">
            <w:pPr>
              <w:spacing w:after="0" w:line="259" w:lineRule="auto"/>
              <w:ind w:left="1013" w:hanging="574"/>
              <w:jc w:val="left"/>
            </w:pPr>
            <w:r>
              <w:rPr>
                <w:b/>
                <w:color w:val="FFFFFF"/>
                <w:sz w:val="18"/>
              </w:rPr>
              <w:t>Descripción del control Existente</w:t>
            </w:r>
            <w:r>
              <w:rPr>
                <w:b/>
                <w:sz w:val="18"/>
              </w:rPr>
              <w:t xml:space="preserve"> </w:t>
            </w:r>
          </w:p>
        </w:tc>
        <w:tc>
          <w:tcPr>
            <w:tcW w:w="4048" w:type="dxa"/>
            <w:tcBorders>
              <w:top w:val="single" w:sz="4" w:space="0" w:color="000000"/>
              <w:left w:val="single" w:sz="4" w:space="0" w:color="000000"/>
              <w:bottom w:val="single" w:sz="4" w:space="0" w:color="000000"/>
              <w:right w:val="single" w:sz="4" w:space="0" w:color="000000"/>
            </w:tcBorders>
            <w:shd w:val="clear" w:color="auto" w:fill="2E75B5"/>
          </w:tcPr>
          <w:p w:rsidR="0076001D" w:rsidRDefault="0034129A">
            <w:pPr>
              <w:spacing w:after="0" w:line="259" w:lineRule="auto"/>
              <w:ind w:left="34" w:firstLine="0"/>
              <w:jc w:val="center"/>
            </w:pPr>
            <w:r>
              <w:rPr>
                <w:b/>
                <w:color w:val="FFFFFF"/>
                <w:sz w:val="18"/>
              </w:rPr>
              <w:t>Observación (ver desarrollo en 4.2)</w:t>
            </w:r>
            <w:r>
              <w:rPr>
                <w:b/>
                <w:sz w:val="18"/>
              </w:rPr>
              <w:t xml:space="preserve"> </w:t>
            </w:r>
          </w:p>
        </w:tc>
      </w:tr>
      <w:tr w:rsidR="0076001D">
        <w:trPr>
          <w:trHeight w:val="1460"/>
        </w:trPr>
        <w:tc>
          <w:tcPr>
            <w:tcW w:w="230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0" w:lineRule="auto"/>
              <w:ind w:left="70" w:firstLine="0"/>
              <w:jc w:val="left"/>
            </w:pPr>
            <w:r>
              <w:rPr>
                <w:sz w:val="18"/>
              </w:rPr>
              <w:t xml:space="preserve">actualización o eliminación de datos personales, contraviniendo el artículo el artículo numeral 10 </w:t>
            </w:r>
          </w:p>
          <w:p w:rsidR="0076001D" w:rsidRDefault="0034129A">
            <w:pPr>
              <w:spacing w:after="0" w:line="259" w:lineRule="auto"/>
              <w:ind w:left="70" w:firstLine="0"/>
            </w:pPr>
            <w:r>
              <w:rPr>
                <w:sz w:val="18"/>
              </w:rPr>
              <w:t xml:space="preserve">"PROCEDIMIENTO PARA </w:t>
            </w:r>
          </w:p>
          <w:p w:rsidR="0076001D" w:rsidRDefault="0034129A">
            <w:pPr>
              <w:spacing w:after="0" w:line="259" w:lineRule="auto"/>
              <w:ind w:left="70" w:firstLine="0"/>
              <w:jc w:val="left"/>
            </w:pPr>
            <w:r>
              <w:rPr>
                <w:sz w:val="18"/>
              </w:rPr>
              <w:t xml:space="preserve">EL EJERCICIO DE LOS </w:t>
            </w:r>
          </w:p>
          <w:p w:rsidR="0076001D" w:rsidRDefault="0034129A">
            <w:pPr>
              <w:spacing w:after="0" w:line="259" w:lineRule="auto"/>
              <w:ind w:left="70" w:firstLine="0"/>
              <w:jc w:val="left"/>
            </w:pPr>
            <w:r>
              <w:rPr>
                <w:sz w:val="18"/>
              </w:rPr>
              <w:t xml:space="preserve">DERECHOS" </w:t>
            </w: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PROCEDIMIENTOS DE </w:t>
            </w:r>
          </w:p>
          <w:p w:rsidR="0076001D" w:rsidRDefault="0034129A">
            <w:pPr>
              <w:spacing w:after="0" w:line="259" w:lineRule="auto"/>
              <w:ind w:left="70" w:firstLine="0"/>
              <w:jc w:val="left"/>
            </w:pPr>
            <w:r>
              <w:rPr>
                <w:sz w:val="18"/>
              </w:rPr>
              <w:t xml:space="preserve">PROTECCIÓN DE DATOS </w:t>
            </w:r>
          </w:p>
          <w:p w:rsidR="0076001D" w:rsidRDefault="0034129A">
            <w:pPr>
              <w:spacing w:after="0" w:line="259" w:lineRule="auto"/>
              <w:ind w:left="70" w:firstLine="0"/>
              <w:jc w:val="left"/>
            </w:pPr>
            <w:r>
              <w:rPr>
                <w:sz w:val="18"/>
              </w:rPr>
              <w:t xml:space="preserve">PERSONALES MN-AC-10-02.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tc>
      </w:tr>
      <w:tr w:rsidR="0076001D">
        <w:trPr>
          <w:trHeight w:val="1253"/>
        </w:trPr>
        <w:tc>
          <w:tcPr>
            <w:tcW w:w="230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70" w:firstLine="0"/>
              <w:jc w:val="left"/>
            </w:pPr>
            <w:r>
              <w:rPr>
                <w:sz w:val="18"/>
              </w:rPr>
              <w:t xml:space="preserve">Actuaciones en contra de la entidad a partir del uso indebido de la información objeto de custodia por el IDEP. </w:t>
            </w:r>
          </w:p>
        </w:tc>
        <w:tc>
          <w:tcPr>
            <w:tcW w:w="28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18"/>
              </w:rPr>
              <w:t xml:space="preserve">Firma del compromiso de cumplimiento de las políticas TIC del IDEP, en el No. 21. Cumplir con las políticas de seguridad y privacidad y tratamiento de datos personales. </w:t>
            </w:r>
          </w:p>
        </w:tc>
        <w:tc>
          <w:tcPr>
            <w:tcW w:w="404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7" w:firstLine="0"/>
              <w:jc w:val="left"/>
            </w:pPr>
            <w:r>
              <w:rPr>
                <w:sz w:val="18"/>
              </w:rPr>
              <w:t xml:space="preserve">El control establecido no es de carácter tecnológico, toda vez que el procedimiento no garantiza la protección de las fuentes de datos que deben ser custodiados y no se incluyen acciones de protección criptográfica sobre las bases de datos y archivos que alojan los datos. </w:t>
            </w:r>
          </w:p>
        </w:tc>
      </w:tr>
    </w:tbl>
    <w:p w:rsidR="0076001D" w:rsidRDefault="0034129A">
      <w:pPr>
        <w:spacing w:after="5"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ind w:left="545" w:firstLine="0"/>
      </w:pPr>
      <w:r>
        <w:t xml:space="preserve">La OAP cuenta con el PL-GT-12-05 Plan Tratamiento de riesgos </w:t>
      </w:r>
      <w:proofErr w:type="spellStart"/>
      <w:r>
        <w:t>info</w:t>
      </w:r>
      <w:proofErr w:type="spellEnd"/>
      <w:r>
        <w:t xml:space="preserve"> V5.pdf, de enero de 2020 y el documento de seguimiento al </w:t>
      </w:r>
      <w:r>
        <w:rPr>
          <w:i/>
        </w:rPr>
        <w:t xml:space="preserve">Plan Tratamiento de riesgos </w:t>
      </w:r>
      <w:proofErr w:type="spellStart"/>
      <w:r>
        <w:rPr>
          <w:i/>
        </w:rPr>
        <w:t>info</w:t>
      </w:r>
      <w:proofErr w:type="spellEnd"/>
      <w:r>
        <w:rPr>
          <w:i/>
        </w:rPr>
        <w:t xml:space="preserve"> 2020 Seguimiento II.xlsx </w:t>
      </w:r>
      <w:r>
        <w:t xml:space="preserve">(entregados al auditor). Sobre las actividades de estos documentos se emiten observaciones: </w:t>
      </w:r>
    </w:p>
    <w:p w:rsidR="0076001D" w:rsidRDefault="0034129A">
      <w:pPr>
        <w:spacing w:after="0" w:line="259" w:lineRule="auto"/>
        <w:ind w:left="0" w:firstLine="0"/>
        <w:jc w:val="left"/>
      </w:pPr>
      <w:r>
        <w:rPr>
          <w:sz w:val="21"/>
        </w:rPr>
        <w:t xml:space="preserve"> </w:t>
      </w:r>
    </w:p>
    <w:p w:rsidR="0076001D" w:rsidRDefault="0034129A">
      <w:pPr>
        <w:ind w:left="914"/>
      </w:pPr>
      <w:r>
        <w:rPr>
          <w:noProof/>
          <w:lang w:val="es-ES" w:eastAsia="es-ES"/>
        </w:rPr>
        <w:drawing>
          <wp:inline distT="0" distB="0" distL="0" distR="0">
            <wp:extent cx="226695" cy="228511"/>
            <wp:effectExtent l="0" t="0" r="0" b="0"/>
            <wp:docPr id="8756" name="Picture 8756"/>
            <wp:cNvGraphicFramePr/>
            <a:graphic xmlns:a="http://schemas.openxmlformats.org/drawingml/2006/main">
              <a:graphicData uri="http://schemas.openxmlformats.org/drawingml/2006/picture">
                <pic:pic xmlns:pic="http://schemas.openxmlformats.org/drawingml/2006/picture">
                  <pic:nvPicPr>
                    <pic:cNvPr id="8756" name="Picture 8756"/>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Las actividades están programadas en la misma franja de tiempo entre junio y diciembre del 2020, sin discriminación de esfuerzo, a excepción de la actividad 1 que inicia en abril de 2020. </w:t>
      </w:r>
    </w:p>
    <w:p w:rsidR="0076001D" w:rsidRDefault="0034129A">
      <w:pPr>
        <w:ind w:left="914"/>
      </w:pPr>
      <w:r>
        <w:rPr>
          <w:noProof/>
          <w:lang w:val="es-ES" w:eastAsia="es-ES"/>
        </w:rPr>
        <w:drawing>
          <wp:inline distT="0" distB="0" distL="0" distR="0">
            <wp:extent cx="226695" cy="228511"/>
            <wp:effectExtent l="0" t="0" r="0" b="0"/>
            <wp:docPr id="8758" name="Picture 8758"/>
            <wp:cNvGraphicFramePr/>
            <a:graphic xmlns:a="http://schemas.openxmlformats.org/drawingml/2006/main">
              <a:graphicData uri="http://schemas.openxmlformats.org/drawingml/2006/picture">
                <pic:pic xmlns:pic="http://schemas.openxmlformats.org/drawingml/2006/picture">
                  <pic:nvPicPr>
                    <pic:cNvPr id="8758" name="Picture 8758"/>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Hay 4 actividades repetidas en este plan y en el Plan de seguridad y Privacidad de la Información: </w:t>
      </w:r>
    </w:p>
    <w:p w:rsidR="0076001D" w:rsidRDefault="0034129A">
      <w:pPr>
        <w:numPr>
          <w:ilvl w:val="0"/>
          <w:numId w:val="10"/>
        </w:numPr>
        <w:spacing w:after="5" w:line="259" w:lineRule="auto"/>
        <w:ind w:right="-3" w:hanging="360"/>
      </w:pPr>
      <w:r>
        <w:t xml:space="preserve">Divulgar y gestionar los boletines informativos de seguridad, Integrar con CSIRT de </w:t>
      </w:r>
    </w:p>
    <w:p w:rsidR="0076001D" w:rsidRDefault="0034129A">
      <w:pPr>
        <w:ind w:left="1260" w:firstLine="362"/>
      </w:pPr>
      <w:r>
        <w:t xml:space="preserve">Gobierno </w:t>
      </w:r>
      <w:r>
        <w:rPr>
          <w:rFonts w:ascii="Courier New" w:eastAsia="Courier New" w:hAnsi="Courier New" w:cs="Courier New"/>
        </w:rPr>
        <w:t>o</w:t>
      </w:r>
      <w:r>
        <w:t xml:space="preserve"> Identificar y actualizar el inventario con los nuevos AI del Área de Tecnología. </w:t>
      </w:r>
      <w:proofErr w:type="gramStart"/>
      <w:r>
        <w:rPr>
          <w:rFonts w:ascii="Courier New" w:eastAsia="Courier New" w:hAnsi="Courier New" w:cs="Courier New"/>
        </w:rPr>
        <w:t>o</w:t>
      </w:r>
      <w:proofErr w:type="gramEnd"/>
      <w:r>
        <w:t xml:space="preserve"> Reportar al director de la Entidad la información recolectada en el instrumento de AI que se identifica y corresponde a las bases de datos del Área de Tecnología. </w:t>
      </w:r>
    </w:p>
    <w:p w:rsidR="0076001D" w:rsidRDefault="0034129A">
      <w:pPr>
        <w:numPr>
          <w:ilvl w:val="0"/>
          <w:numId w:val="10"/>
        </w:numPr>
        <w:spacing w:after="74"/>
        <w:ind w:right="-3" w:hanging="360"/>
      </w:pPr>
      <w:r>
        <w:t xml:space="preserve">Revisar la guía GU-GT-12-01 Guía para la gestión de incidentes de seguridad de la información y el formato FT-GT-12-21 Registro de incidentes de seguridad de la información </w:t>
      </w:r>
    </w:p>
    <w:p w:rsidR="0076001D" w:rsidRDefault="0034129A">
      <w:pPr>
        <w:ind w:left="914"/>
      </w:pPr>
      <w:r>
        <w:rPr>
          <w:noProof/>
          <w:lang w:val="es-ES" w:eastAsia="es-ES"/>
        </w:rPr>
        <w:drawing>
          <wp:inline distT="0" distB="0" distL="0" distR="0">
            <wp:extent cx="228600" cy="137160"/>
            <wp:effectExtent l="0" t="0" r="0" b="0"/>
            <wp:docPr id="8762" name="Picture 8762"/>
            <wp:cNvGraphicFramePr/>
            <a:graphic xmlns:a="http://schemas.openxmlformats.org/drawingml/2006/main">
              <a:graphicData uri="http://schemas.openxmlformats.org/drawingml/2006/picture">
                <pic:pic xmlns:pic="http://schemas.openxmlformats.org/drawingml/2006/picture">
                  <pic:nvPicPr>
                    <pic:cNvPr id="8762" name="Picture 8762"/>
                    <pic:cNvPicPr/>
                  </pic:nvPicPr>
                  <pic:blipFill>
                    <a:blip r:embed="rId8"/>
                    <a:stretch>
                      <a:fillRect/>
                    </a:stretch>
                  </pic:blipFill>
                  <pic:spPr>
                    <a:xfrm>
                      <a:off x="0" y="0"/>
                      <a:ext cx="228600" cy="137160"/>
                    </a:xfrm>
                    <a:prstGeom prst="rect">
                      <a:avLst/>
                    </a:prstGeom>
                  </pic:spPr>
                </pic:pic>
              </a:graphicData>
            </a:graphic>
          </wp:inline>
        </w:drawing>
      </w:r>
      <w:r>
        <w:t xml:space="preserve"> Las actividades incluidas en el Plan no corresponden con los lineamientos del Manual de Gobierno Digital y en especial con el modelo nacional de gestión de riesgos de seguridad digital que establece una interacción con el Modelo de Privacidad y Seguridad de la Información (MPSI); así como la relación con los activos de información que soportan la operación de cualquier Entidad … en todas sus fases o componentes del ciclo PHVA, ya que se centra exclusivamente en una actualización del inventario de activos de información y en el procedimiento de gestión de incidentes de seguridad que atiende únicamente el dominio 16 del MSPI. </w:t>
      </w:r>
    </w:p>
    <w:p w:rsidR="0076001D" w:rsidRDefault="0034129A">
      <w:pPr>
        <w:ind w:left="914"/>
      </w:pPr>
      <w:r>
        <w:rPr>
          <w:noProof/>
          <w:lang w:val="es-ES" w:eastAsia="es-ES"/>
        </w:rPr>
        <w:drawing>
          <wp:inline distT="0" distB="0" distL="0" distR="0">
            <wp:extent cx="226695" cy="228511"/>
            <wp:effectExtent l="0" t="0" r="0" b="0"/>
            <wp:docPr id="8760" name="Picture 8760"/>
            <wp:cNvGraphicFramePr/>
            <a:graphic xmlns:a="http://schemas.openxmlformats.org/drawingml/2006/main">
              <a:graphicData uri="http://schemas.openxmlformats.org/drawingml/2006/picture">
                <pic:pic xmlns:pic="http://schemas.openxmlformats.org/drawingml/2006/picture">
                  <pic:nvPicPr>
                    <pic:cNvPr id="8760" name="Picture 8760"/>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La actividad “Realizar el seguimiento a los riesgos relacionados con seguridad de la información contenidos en el Mapa de Riesgos del IDEP”, resulta insuficiente, toda vez que los 4 riesgos presentados no dan cobertura a la totalidad de los riesgos tecnológicos y/o </w:t>
      </w:r>
      <w:r>
        <w:lastRenderedPageBreak/>
        <w:t xml:space="preserve">de seguridad de la información articulados a los activos de información y a los controles MSPI. </w:t>
      </w:r>
    </w:p>
    <w:p w:rsidR="0076001D" w:rsidRDefault="0034129A">
      <w:pPr>
        <w:spacing w:after="0" w:line="259" w:lineRule="auto"/>
        <w:ind w:left="0" w:firstLine="0"/>
        <w:jc w:val="left"/>
      </w:pPr>
      <w:r>
        <w:rPr>
          <w:sz w:val="27"/>
        </w:rPr>
        <w:t xml:space="preserve"> </w:t>
      </w:r>
    </w:p>
    <w:p w:rsidR="0076001D" w:rsidRDefault="0034129A">
      <w:pPr>
        <w:spacing w:after="54"/>
        <w:ind w:left="914"/>
      </w:pPr>
      <w:r>
        <w:rPr>
          <w:noProof/>
          <w:lang w:val="es-ES" w:eastAsia="es-ES"/>
        </w:rPr>
        <w:drawing>
          <wp:inline distT="0" distB="0" distL="0" distR="0">
            <wp:extent cx="227546" cy="136525"/>
            <wp:effectExtent l="0" t="0" r="0" b="0"/>
            <wp:docPr id="8920" name="Picture 8920"/>
            <wp:cNvGraphicFramePr/>
            <a:graphic xmlns:a="http://schemas.openxmlformats.org/drawingml/2006/main">
              <a:graphicData uri="http://schemas.openxmlformats.org/drawingml/2006/picture">
                <pic:pic xmlns:pic="http://schemas.openxmlformats.org/drawingml/2006/picture">
                  <pic:nvPicPr>
                    <pic:cNvPr id="8920" name="Picture 8920"/>
                    <pic:cNvPicPr/>
                  </pic:nvPicPr>
                  <pic:blipFill>
                    <a:blip r:embed="rId8"/>
                    <a:stretch>
                      <a:fillRect/>
                    </a:stretch>
                  </pic:blipFill>
                  <pic:spPr>
                    <a:xfrm>
                      <a:off x="0" y="0"/>
                      <a:ext cx="227546" cy="136525"/>
                    </a:xfrm>
                    <a:prstGeom prst="rect">
                      <a:avLst/>
                    </a:prstGeom>
                  </pic:spPr>
                </pic:pic>
              </a:graphicData>
            </a:graphic>
          </wp:inline>
        </w:drawing>
      </w:r>
      <w:r>
        <w:t xml:space="preserve"> En cuanto a la Revisión y actualización del instrumento de levantamiento de Activos de Información (AI) del Área de Tecnología, se </w:t>
      </w:r>
      <w:proofErr w:type="spellStart"/>
      <w:r>
        <w:t>entrego</w:t>
      </w:r>
      <w:proofErr w:type="spellEnd"/>
      <w:r>
        <w:t xml:space="preserve"> el documento </w:t>
      </w:r>
      <w:r>
        <w:rPr>
          <w:i/>
        </w:rPr>
        <w:t>Base de Datos de Activos de Información Hardware - Software - Servicios.xlsx</w:t>
      </w:r>
      <w:r>
        <w:t xml:space="preserve">, que incluye hardware, software, sistemas de información y servicios, además de incluir la calificación de criticidad, sin embargo, el proceso manifiesta que su actualización está planeada para  ser realizada en el tercer trimestre de 2020. Se entrega también el documento </w:t>
      </w:r>
      <w:r>
        <w:rPr>
          <w:i/>
        </w:rPr>
        <w:t xml:space="preserve">Activos IDEP consolidado VerAdjustada.xlsx, </w:t>
      </w:r>
      <w:r>
        <w:t xml:space="preserve">pero esta </w:t>
      </w:r>
      <w:proofErr w:type="spellStart"/>
      <w:r>
        <w:t>mas</w:t>
      </w:r>
      <w:proofErr w:type="spellEnd"/>
      <w:r>
        <w:t xml:space="preserve"> completo el </w:t>
      </w:r>
      <w:r>
        <w:rPr>
          <w:i/>
        </w:rPr>
        <w:t xml:space="preserve">Base de Datos de Activos de Información Hardware - Software - Servicios.xlsx. </w:t>
      </w:r>
    </w:p>
    <w:p w:rsidR="0076001D" w:rsidRDefault="0034129A">
      <w:pPr>
        <w:spacing w:after="53"/>
        <w:ind w:left="914"/>
      </w:pPr>
      <w:r>
        <w:rPr>
          <w:noProof/>
          <w:lang w:val="es-ES" w:eastAsia="es-ES"/>
        </w:rPr>
        <w:drawing>
          <wp:inline distT="0" distB="0" distL="0" distR="0">
            <wp:extent cx="227546" cy="136525"/>
            <wp:effectExtent l="0" t="0" r="0" b="0"/>
            <wp:docPr id="8922" name="Picture 8922"/>
            <wp:cNvGraphicFramePr/>
            <a:graphic xmlns:a="http://schemas.openxmlformats.org/drawingml/2006/main">
              <a:graphicData uri="http://schemas.openxmlformats.org/drawingml/2006/picture">
                <pic:pic xmlns:pic="http://schemas.openxmlformats.org/drawingml/2006/picture">
                  <pic:nvPicPr>
                    <pic:cNvPr id="8922" name="Picture 8922"/>
                    <pic:cNvPicPr/>
                  </pic:nvPicPr>
                  <pic:blipFill>
                    <a:blip r:embed="rId8"/>
                    <a:stretch>
                      <a:fillRect/>
                    </a:stretch>
                  </pic:blipFill>
                  <pic:spPr>
                    <a:xfrm>
                      <a:off x="0" y="0"/>
                      <a:ext cx="227546" cy="136525"/>
                    </a:xfrm>
                    <a:prstGeom prst="rect">
                      <a:avLst/>
                    </a:prstGeom>
                  </pic:spPr>
                </pic:pic>
              </a:graphicData>
            </a:graphic>
          </wp:inline>
        </w:drawing>
      </w:r>
      <w:r>
        <w:t xml:space="preserve"> Están correctamente incluidos y catalogados los activos tipo información, en las tres dimensiones de Confidencialidad, Disponibilidad e Integridad, sin embargo, está pendiente el desarrollo del dominio 10 Criptografía del MSPI para su protección en alojamiento y tránsito (correos, carpetas compartidas, etc.) </w:t>
      </w:r>
    </w:p>
    <w:p w:rsidR="0076001D" w:rsidRDefault="0034129A">
      <w:pPr>
        <w:ind w:left="914"/>
      </w:pPr>
      <w:r>
        <w:rPr>
          <w:noProof/>
          <w:lang w:val="es-ES" w:eastAsia="es-ES"/>
        </w:rPr>
        <w:drawing>
          <wp:inline distT="0" distB="0" distL="0" distR="0">
            <wp:extent cx="228600" cy="137160"/>
            <wp:effectExtent l="0" t="0" r="0" b="0"/>
            <wp:docPr id="8924" name="Picture 8924"/>
            <wp:cNvGraphicFramePr/>
            <a:graphic xmlns:a="http://schemas.openxmlformats.org/drawingml/2006/main">
              <a:graphicData uri="http://schemas.openxmlformats.org/drawingml/2006/picture">
                <pic:pic xmlns:pic="http://schemas.openxmlformats.org/drawingml/2006/picture">
                  <pic:nvPicPr>
                    <pic:cNvPr id="8924" name="Picture 8924"/>
                    <pic:cNvPicPr/>
                  </pic:nvPicPr>
                  <pic:blipFill>
                    <a:blip r:embed="rId8"/>
                    <a:stretch>
                      <a:fillRect/>
                    </a:stretch>
                  </pic:blipFill>
                  <pic:spPr>
                    <a:xfrm>
                      <a:off x="0" y="0"/>
                      <a:ext cx="228600" cy="137160"/>
                    </a:xfrm>
                    <a:prstGeom prst="rect">
                      <a:avLst/>
                    </a:prstGeom>
                  </pic:spPr>
                </pic:pic>
              </a:graphicData>
            </a:graphic>
          </wp:inline>
        </w:drawing>
      </w:r>
      <w:r>
        <w:t xml:space="preserve"> Sobre las demás actividades no se presenta evidencia de su cumplimiento y se informa que serán atendidas en el tercer trimestre, pese a que su inicio </w:t>
      </w:r>
      <w:proofErr w:type="spellStart"/>
      <w:r>
        <w:t>esta</w:t>
      </w:r>
      <w:proofErr w:type="spellEnd"/>
      <w:r>
        <w:t xml:space="preserve"> definido para junio de 2020 y la auditoría se </w:t>
      </w:r>
      <w:proofErr w:type="gramStart"/>
      <w:r>
        <w:t>realizó</w:t>
      </w:r>
      <w:proofErr w:type="gramEnd"/>
      <w:r>
        <w:t xml:space="preserve"> en septiembre de 2020. </w:t>
      </w:r>
    </w:p>
    <w:p w:rsidR="0076001D" w:rsidRDefault="0034129A">
      <w:pPr>
        <w:ind w:left="914"/>
      </w:pPr>
      <w:r>
        <w:rPr>
          <w:noProof/>
          <w:lang w:val="es-ES" w:eastAsia="es-ES"/>
        </w:rPr>
        <w:drawing>
          <wp:inline distT="0" distB="0" distL="0" distR="0">
            <wp:extent cx="226695" cy="228511"/>
            <wp:effectExtent l="0" t="0" r="0" b="0"/>
            <wp:docPr id="8912" name="Picture 8912"/>
            <wp:cNvGraphicFramePr/>
            <a:graphic xmlns:a="http://schemas.openxmlformats.org/drawingml/2006/main">
              <a:graphicData uri="http://schemas.openxmlformats.org/drawingml/2006/picture">
                <pic:pic xmlns:pic="http://schemas.openxmlformats.org/drawingml/2006/picture">
                  <pic:nvPicPr>
                    <pic:cNvPr id="8912" name="Picture 8912"/>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La declaración de aplicabilidad del MSPI es el documento que estructura cuales de los 114 controles deberán ser implementados para los riesgos identificados en los 33 Objetivos de control y ese documento no se ha construido en el IDEP, ni su construcción está en los planes de tratamiento de riesgos ni en el de seguridad y privacidad de la información. </w:t>
      </w:r>
    </w:p>
    <w:p w:rsidR="0076001D" w:rsidRDefault="0034129A">
      <w:pPr>
        <w:ind w:left="914"/>
      </w:pPr>
      <w:r>
        <w:rPr>
          <w:noProof/>
          <w:lang w:val="es-ES" w:eastAsia="es-ES"/>
        </w:rPr>
        <w:drawing>
          <wp:inline distT="0" distB="0" distL="0" distR="0">
            <wp:extent cx="226695" cy="228511"/>
            <wp:effectExtent l="0" t="0" r="0" b="0"/>
            <wp:docPr id="8914" name="Picture 8914"/>
            <wp:cNvGraphicFramePr/>
            <a:graphic xmlns:a="http://schemas.openxmlformats.org/drawingml/2006/main">
              <a:graphicData uri="http://schemas.openxmlformats.org/drawingml/2006/picture">
                <pic:pic xmlns:pic="http://schemas.openxmlformats.org/drawingml/2006/picture">
                  <pic:nvPicPr>
                    <pic:cNvPr id="8914" name="Picture 8914"/>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No se incluyen actividades de verificación de la efectividad de controles para el tratamiento de los riesgos, ni acciones de mejora frente a desviaciones. No se incluyen actividades de articulación entre los riesgos aceptados sobre activos críticos, para los cuales deben incluirse planes de contingencia y recuperación en caso de materialización.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134" w:line="259" w:lineRule="auto"/>
        <w:ind w:left="0" w:firstLine="0"/>
        <w:jc w:val="left"/>
      </w:pPr>
      <w:r>
        <w:rPr>
          <w:sz w:val="16"/>
        </w:rPr>
        <w:t xml:space="preserve"> </w:t>
      </w:r>
    </w:p>
    <w:p w:rsidR="0076001D" w:rsidRDefault="0034129A">
      <w:pPr>
        <w:pStyle w:val="Ttulo4"/>
        <w:tabs>
          <w:tab w:val="center" w:pos="870"/>
          <w:tab w:val="center" w:pos="4173"/>
        </w:tabs>
        <w:ind w:left="0" w:firstLine="0"/>
      </w:pPr>
      <w:r>
        <w:rPr>
          <w:rFonts w:ascii="Calibri" w:eastAsia="Calibri" w:hAnsi="Calibri" w:cs="Calibri"/>
          <w:b w:val="0"/>
        </w:rPr>
        <w:tab/>
      </w:r>
      <w:proofErr w:type="gramStart"/>
      <w:r>
        <w:t xml:space="preserve">5.1.3.2 </w:t>
      </w:r>
      <w:r>
        <w:tab/>
        <w:t>Plan</w:t>
      </w:r>
      <w:proofErr w:type="gramEnd"/>
      <w:r>
        <w:t xml:space="preserve"> de Continuidad </w:t>
      </w:r>
    </w:p>
    <w:p w:rsidR="0076001D" w:rsidRDefault="0034129A">
      <w:pPr>
        <w:spacing w:after="0" w:line="259" w:lineRule="auto"/>
        <w:ind w:left="0" w:firstLine="0"/>
        <w:jc w:val="left"/>
      </w:pPr>
      <w:r>
        <w:rPr>
          <w:b/>
          <w:sz w:val="24"/>
        </w:rPr>
        <w:t xml:space="preserve"> </w:t>
      </w:r>
    </w:p>
    <w:p w:rsidR="0076001D" w:rsidRDefault="0034129A">
      <w:pPr>
        <w:spacing w:after="0" w:line="259" w:lineRule="auto"/>
        <w:ind w:left="0" w:firstLine="0"/>
        <w:jc w:val="left"/>
      </w:pPr>
      <w:r>
        <w:rPr>
          <w:b/>
          <w:sz w:val="23"/>
        </w:rPr>
        <w:t xml:space="preserve"> </w:t>
      </w:r>
    </w:p>
    <w:p w:rsidR="0076001D" w:rsidRDefault="0034129A">
      <w:pPr>
        <w:ind w:left="545" w:firstLine="0"/>
      </w:pPr>
      <w:r>
        <w:t xml:space="preserve">La OAP cuenta con el </w:t>
      </w:r>
      <w:r>
        <w:rPr>
          <w:i/>
        </w:rPr>
        <w:t xml:space="preserve">PL-GT-12-02 Plan Contingencia Tecno V11_0.pdf </w:t>
      </w:r>
      <w:r>
        <w:t xml:space="preserve">de mayo de 2020 en proceso de actualización, sobre el cual se emiten las siguientes observaciones: </w:t>
      </w:r>
    </w:p>
    <w:p w:rsidR="0076001D" w:rsidRDefault="0034129A">
      <w:pPr>
        <w:spacing w:after="0" w:line="259" w:lineRule="auto"/>
        <w:ind w:left="0" w:firstLine="0"/>
        <w:jc w:val="left"/>
      </w:pPr>
      <w:r>
        <w:rPr>
          <w:sz w:val="20"/>
        </w:rPr>
        <w:t xml:space="preserve"> </w:t>
      </w:r>
    </w:p>
    <w:p w:rsidR="0076001D" w:rsidRDefault="0034129A">
      <w:pPr>
        <w:numPr>
          <w:ilvl w:val="0"/>
          <w:numId w:val="11"/>
        </w:numPr>
        <w:ind w:hanging="361"/>
      </w:pPr>
      <w:r>
        <w:t xml:space="preserve">Se evidencia una mejora en la actualización del documento entre la auditoría 2019 y 2020, específicamente en la inclusión de los demás servicios tecnológicos de la entidad. </w:t>
      </w:r>
    </w:p>
    <w:p w:rsidR="0076001D" w:rsidRDefault="0034129A">
      <w:pPr>
        <w:spacing w:after="0" w:line="259" w:lineRule="auto"/>
        <w:ind w:left="0" w:firstLine="0"/>
        <w:jc w:val="left"/>
      </w:pPr>
      <w:r>
        <w:rPr>
          <w:sz w:val="20"/>
        </w:rPr>
        <w:t xml:space="preserve"> </w:t>
      </w:r>
    </w:p>
    <w:p w:rsidR="0076001D" w:rsidRDefault="0034129A">
      <w:pPr>
        <w:numPr>
          <w:ilvl w:val="0"/>
          <w:numId w:val="11"/>
        </w:numPr>
        <w:ind w:hanging="361"/>
      </w:pPr>
      <w:r>
        <w:t xml:space="preserve">Se han adelantado acciones efectivas de contingencia con el paso de Humano a servicio SAAS (Software as a </w:t>
      </w:r>
      <w:proofErr w:type="spellStart"/>
      <w:r>
        <w:t>Service</w:t>
      </w:r>
      <w:proofErr w:type="spellEnd"/>
      <w:r>
        <w:t xml:space="preserve">) y de su ambiente contingente al arreglo de </w:t>
      </w:r>
      <w:proofErr w:type="spellStart"/>
      <w:r>
        <w:t>hiperconvergencia</w:t>
      </w:r>
      <w:proofErr w:type="spellEnd"/>
      <w:r>
        <w:t xml:space="preserve">, además de la unificación de Windows server. Esta nueva estrategia traslada la continuidad del servicio y la generación de </w:t>
      </w:r>
      <w:proofErr w:type="spellStart"/>
      <w:r>
        <w:t>backups</w:t>
      </w:r>
      <w:proofErr w:type="spellEnd"/>
      <w:r>
        <w:t xml:space="preserve"> al proveedor y elimina la </w:t>
      </w:r>
      <w:r>
        <w:lastRenderedPageBreak/>
        <w:t xml:space="preserve">dependencia de la infraestructura del IDEP, además de disminuir la carga operativa a los recursos actuales que son limitados para la operación. </w:t>
      </w:r>
    </w:p>
    <w:p w:rsidR="0076001D" w:rsidRDefault="0034129A">
      <w:pPr>
        <w:spacing w:after="0" w:line="259" w:lineRule="auto"/>
        <w:ind w:left="0" w:firstLine="0"/>
        <w:jc w:val="left"/>
      </w:pPr>
      <w:r>
        <w:rPr>
          <w:sz w:val="27"/>
        </w:rPr>
        <w:t xml:space="preserve"> </w:t>
      </w:r>
    </w:p>
    <w:p w:rsidR="0076001D" w:rsidRDefault="0034129A">
      <w:pPr>
        <w:spacing w:after="0" w:line="259" w:lineRule="auto"/>
        <w:ind w:left="542" w:firstLine="0"/>
        <w:jc w:val="left"/>
      </w:pPr>
      <w:r>
        <w:rPr>
          <w:noProof/>
          <w:lang w:val="es-ES" w:eastAsia="es-ES"/>
        </w:rPr>
        <w:drawing>
          <wp:inline distT="0" distB="0" distL="0" distR="0">
            <wp:extent cx="227546" cy="136525"/>
            <wp:effectExtent l="0" t="0" r="0" b="0"/>
            <wp:docPr id="8963" name="Picture 8963"/>
            <wp:cNvGraphicFramePr/>
            <a:graphic xmlns:a="http://schemas.openxmlformats.org/drawingml/2006/main">
              <a:graphicData uri="http://schemas.openxmlformats.org/drawingml/2006/picture">
                <pic:pic xmlns:pic="http://schemas.openxmlformats.org/drawingml/2006/picture">
                  <pic:nvPicPr>
                    <pic:cNvPr id="8963" name="Picture 8963"/>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spacing w:after="143"/>
        <w:ind w:left="713" w:firstLine="348"/>
      </w:pPr>
      <w:r>
        <w:t xml:space="preserve">Se observa que si bien la obligación 16. </w:t>
      </w:r>
      <w:proofErr w:type="gramStart"/>
      <w:r>
        <w:t>del</w:t>
      </w:r>
      <w:proofErr w:type="gramEnd"/>
      <w:r>
        <w:t xml:space="preserve"> contrato de Humano cita: “Realizar el Monitoreo en el </w:t>
      </w:r>
      <w:proofErr w:type="spellStart"/>
      <w:r>
        <w:t>Datacenter</w:t>
      </w:r>
      <w:proofErr w:type="spellEnd"/>
      <w:r>
        <w:t xml:space="preserve"> que tiene dispuesto Soporte Lógico Ltda. </w:t>
      </w:r>
      <w:proofErr w:type="gramStart"/>
      <w:r>
        <w:t>en</w:t>
      </w:r>
      <w:proofErr w:type="gramEnd"/>
      <w:r>
        <w:t xml:space="preserve"> una disponibilidad de 7x24x365”, la administradora no tiene un usuario de esta plataforma de monitoreo, que permita verificar la disponibilidad contratada y los niveles de ocupación de los recursos para proveer oportunamente requisitos de aprovisionamiento, que si bien se solicita disponibilidad, el contrato no es </w:t>
      </w:r>
      <w:proofErr w:type="spellStart"/>
      <w:r>
        <w:t>explicito</w:t>
      </w:r>
      <w:proofErr w:type="spellEnd"/>
      <w:r>
        <w:t xml:space="preserve"> en cuanto a desempeño e incremento de aprovisionamiento. </w:t>
      </w:r>
    </w:p>
    <w:p w:rsidR="0076001D" w:rsidRDefault="0034129A">
      <w:pPr>
        <w:ind w:left="713" w:firstLine="535"/>
      </w:pPr>
      <w:r>
        <w:rPr>
          <w:noProof/>
          <w:lang w:val="es-ES" w:eastAsia="es-ES"/>
        </w:rPr>
        <w:drawing>
          <wp:anchor distT="0" distB="0" distL="114300" distR="114300" simplePos="0" relativeHeight="251666432" behindDoc="0" locked="0" layoutInCell="1" allowOverlap="0">
            <wp:simplePos x="0" y="0"/>
            <wp:positionH relativeFrom="column">
              <wp:posOffset>344043</wp:posOffset>
            </wp:positionH>
            <wp:positionV relativeFrom="paragraph">
              <wp:posOffset>103520</wp:posOffset>
            </wp:positionV>
            <wp:extent cx="227546" cy="136525"/>
            <wp:effectExtent l="0" t="0" r="0" b="0"/>
            <wp:wrapNone/>
            <wp:docPr id="8965" name="Picture 8965"/>
            <wp:cNvGraphicFramePr/>
            <a:graphic xmlns:a="http://schemas.openxmlformats.org/drawingml/2006/main">
              <a:graphicData uri="http://schemas.openxmlformats.org/drawingml/2006/picture">
                <pic:pic xmlns:pic="http://schemas.openxmlformats.org/drawingml/2006/picture">
                  <pic:nvPicPr>
                    <pic:cNvPr id="8965" name="Picture 8965"/>
                    <pic:cNvPicPr/>
                  </pic:nvPicPr>
                  <pic:blipFill>
                    <a:blip r:embed="rId8"/>
                    <a:stretch>
                      <a:fillRect/>
                    </a:stretch>
                  </pic:blipFill>
                  <pic:spPr>
                    <a:xfrm>
                      <a:off x="0" y="0"/>
                      <a:ext cx="227546" cy="136525"/>
                    </a:xfrm>
                    <a:prstGeom prst="rect">
                      <a:avLst/>
                    </a:prstGeom>
                  </pic:spPr>
                </pic:pic>
              </a:graphicData>
            </a:graphic>
          </wp:anchor>
        </w:drawing>
      </w:r>
      <w:r>
        <w:t xml:space="preserve">Se observa que el </w:t>
      </w:r>
      <w:r>
        <w:rPr>
          <w:i/>
        </w:rPr>
        <w:t>PL-GT-12-02 Plan Contingencia Tecno V11_0.pdf</w:t>
      </w:r>
      <w:r>
        <w:t xml:space="preserve">, no incluye la relación entre el tratamiento de riesgos y los planes de continuidad, teniendo en cuenta la correlación entre activos – riesgos y planes de contingencia y continuidad. La siguiente imagen presenta un ejemplo de correlación: </w:t>
      </w:r>
    </w:p>
    <w:p w:rsidR="0076001D" w:rsidRDefault="0034129A">
      <w:pPr>
        <w:spacing w:after="53" w:line="259" w:lineRule="auto"/>
        <w:ind w:left="0" w:firstLine="0"/>
        <w:jc w:val="left"/>
      </w:pPr>
      <w:r>
        <w:rPr>
          <w:sz w:val="20"/>
        </w:rPr>
        <w:t xml:space="preserve"> </w:t>
      </w:r>
    </w:p>
    <w:p w:rsidR="0076001D" w:rsidRDefault="0034129A">
      <w:pPr>
        <w:spacing w:after="0" w:line="259" w:lineRule="auto"/>
        <w:ind w:left="0" w:firstLine="0"/>
        <w:jc w:val="left"/>
      </w:pPr>
      <w:r>
        <w:rPr>
          <w:sz w:val="27"/>
        </w:rPr>
        <w:t xml:space="preserve"> </w:t>
      </w:r>
    </w:p>
    <w:p w:rsidR="0076001D" w:rsidRDefault="0034129A">
      <w:pPr>
        <w:spacing w:after="8" w:line="259" w:lineRule="auto"/>
        <w:ind w:left="636" w:right="-497" w:firstLine="0"/>
        <w:jc w:val="left"/>
      </w:pPr>
      <w:r>
        <w:rPr>
          <w:noProof/>
          <w:lang w:val="es-ES" w:eastAsia="es-ES"/>
        </w:rPr>
        <w:drawing>
          <wp:inline distT="0" distB="0" distL="0" distR="0">
            <wp:extent cx="6058535" cy="3365754"/>
            <wp:effectExtent l="0" t="0" r="0" b="0"/>
            <wp:docPr id="9019" name="Picture 9019"/>
            <wp:cNvGraphicFramePr/>
            <a:graphic xmlns:a="http://schemas.openxmlformats.org/drawingml/2006/main">
              <a:graphicData uri="http://schemas.openxmlformats.org/drawingml/2006/picture">
                <pic:pic xmlns:pic="http://schemas.openxmlformats.org/drawingml/2006/picture">
                  <pic:nvPicPr>
                    <pic:cNvPr id="9019" name="Picture 9019"/>
                    <pic:cNvPicPr/>
                  </pic:nvPicPr>
                  <pic:blipFill>
                    <a:blip r:embed="rId115"/>
                    <a:stretch>
                      <a:fillRect/>
                    </a:stretch>
                  </pic:blipFill>
                  <pic:spPr>
                    <a:xfrm>
                      <a:off x="0" y="0"/>
                      <a:ext cx="6058535" cy="3365754"/>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spacing w:after="79" w:line="259" w:lineRule="auto"/>
        <w:ind w:left="0" w:firstLine="0"/>
        <w:jc w:val="left"/>
      </w:pPr>
      <w:r>
        <w:rPr>
          <w:sz w:val="20"/>
        </w:rPr>
        <w:t xml:space="preserve"> </w:t>
      </w:r>
    </w:p>
    <w:p w:rsidR="0076001D" w:rsidRDefault="0034129A">
      <w:pPr>
        <w:ind w:left="914"/>
      </w:pPr>
      <w:r>
        <w:rPr>
          <w:noProof/>
          <w:lang w:val="es-ES" w:eastAsia="es-ES"/>
        </w:rPr>
        <w:drawing>
          <wp:inline distT="0" distB="0" distL="0" distR="0">
            <wp:extent cx="226695" cy="228511"/>
            <wp:effectExtent l="0" t="0" r="0" b="0"/>
            <wp:docPr id="9017" name="Picture 9017"/>
            <wp:cNvGraphicFramePr/>
            <a:graphic xmlns:a="http://schemas.openxmlformats.org/drawingml/2006/main">
              <a:graphicData uri="http://schemas.openxmlformats.org/drawingml/2006/picture">
                <pic:pic xmlns:pic="http://schemas.openxmlformats.org/drawingml/2006/picture">
                  <pic:nvPicPr>
                    <pic:cNvPr id="9017" name="Picture 9017"/>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No se ha adelantado un Análisis de Impacto al Negocio BIA como primer paso de la implementación del Plan de Continuidad una vez seleccionados los riesgos extremos asumidos, con el fin de identificar los activos o servicios tecnológicos críticos, y los posibles impactos que se tendrían si éstos no se encuentran disponibles y en correcto funcionamiento: </w:t>
      </w:r>
    </w:p>
    <w:p w:rsidR="0076001D" w:rsidRDefault="0034129A">
      <w:pPr>
        <w:numPr>
          <w:ilvl w:val="1"/>
          <w:numId w:val="11"/>
        </w:numPr>
        <w:ind w:hanging="360"/>
      </w:pPr>
      <w:r>
        <w:lastRenderedPageBreak/>
        <w:t xml:space="preserve">Estimar los tiempos de contingencia y recuperación de los procesos esenciales a su operación normal después que ha ocurrido el incidente invalidante, de acuerdo a la tolerancia de la entidad para operar sin el servicio TIC. </w:t>
      </w:r>
    </w:p>
    <w:p w:rsidR="0076001D" w:rsidRDefault="0034129A">
      <w:pPr>
        <w:spacing w:after="157" w:line="259" w:lineRule="auto"/>
        <w:ind w:left="0" w:firstLine="0"/>
        <w:jc w:val="left"/>
      </w:pPr>
      <w:r>
        <w:rPr>
          <w:sz w:val="14"/>
        </w:rPr>
        <w:t xml:space="preserve"> </w:t>
      </w:r>
    </w:p>
    <w:p w:rsidR="0076001D" w:rsidRDefault="0034129A">
      <w:pPr>
        <w:numPr>
          <w:ilvl w:val="1"/>
          <w:numId w:val="11"/>
        </w:numPr>
        <w:ind w:hanging="360"/>
      </w:pPr>
      <w:r>
        <w:t xml:space="preserve">Los puntos de recuperación de los datos y condiciones de registro alterno durante contingencia </w:t>
      </w:r>
    </w:p>
    <w:p w:rsidR="0076001D" w:rsidRDefault="0034129A">
      <w:pPr>
        <w:spacing w:after="0" w:line="259" w:lineRule="auto"/>
        <w:ind w:left="0" w:firstLine="0"/>
        <w:jc w:val="left"/>
      </w:pPr>
      <w:r>
        <w:t xml:space="preserve"> </w:t>
      </w:r>
    </w:p>
    <w:p w:rsidR="0076001D" w:rsidRDefault="0034129A">
      <w:pPr>
        <w:ind w:left="900" w:firstLine="0"/>
      </w:pPr>
      <w:r>
        <w:t xml:space="preserve">Evidencia de la falta del análisis BIA, es que para los servicios de BIBLIOTECA DIGITAL </w:t>
      </w:r>
    </w:p>
    <w:p w:rsidR="0076001D" w:rsidRDefault="0034129A">
      <w:pPr>
        <w:ind w:left="900" w:firstLine="0"/>
      </w:pPr>
      <w:r>
        <w:t xml:space="preserve">KOHA, SISTEMA WEB OJS, ADMINISTRATIVO Y FINANCIERO GOOBI, SISTEMA DE </w:t>
      </w:r>
    </w:p>
    <w:p w:rsidR="0076001D" w:rsidRDefault="0034129A">
      <w:pPr>
        <w:ind w:left="900" w:firstLine="0"/>
      </w:pPr>
      <w:r>
        <w:t xml:space="preserve">INFORMACIÓN NÓMINA HUMANO y DSPACE, se establecen tiempos de entre 21 y 31 días para un proceso de contingencia, sin que estos tiempos hayan sido validados con el negocio. </w:t>
      </w:r>
    </w:p>
    <w:p w:rsidR="0076001D" w:rsidRDefault="0034129A">
      <w:pPr>
        <w:spacing w:after="0" w:line="259" w:lineRule="auto"/>
        <w:ind w:left="0" w:firstLine="0"/>
        <w:jc w:val="left"/>
      </w:pPr>
      <w:r>
        <w:rPr>
          <w:sz w:val="21"/>
        </w:rPr>
        <w:t xml:space="preserve"> </w:t>
      </w:r>
    </w:p>
    <w:p w:rsidR="0076001D" w:rsidRDefault="0034129A">
      <w:pPr>
        <w:ind w:left="914"/>
      </w:pPr>
      <w:r>
        <w:rPr>
          <w:noProof/>
          <w:lang w:val="es-ES" w:eastAsia="es-ES"/>
        </w:rPr>
        <w:drawing>
          <wp:inline distT="0" distB="0" distL="0" distR="0">
            <wp:extent cx="226695" cy="228511"/>
            <wp:effectExtent l="0" t="0" r="0" b="0"/>
            <wp:docPr id="9131" name="Picture 9131"/>
            <wp:cNvGraphicFramePr/>
            <a:graphic xmlns:a="http://schemas.openxmlformats.org/drawingml/2006/main">
              <a:graphicData uri="http://schemas.openxmlformats.org/drawingml/2006/picture">
                <pic:pic xmlns:pic="http://schemas.openxmlformats.org/drawingml/2006/picture">
                  <pic:nvPicPr>
                    <pic:cNvPr id="9131" name="Picture 9131"/>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Se observa que los planes de acción incluyen tareas de instalación de ambientes y configuración de servicios desde cero, lo cual no corresponde a una contingencia, ya que esta por definición corresponde a “tener listo” un ambiente que permita operar de manera alternativa frente a la falla invalidante y que solo requiera el montaje de datos y gestión de accesos, esa es una causa de los tiempos extremos. </w:t>
      </w:r>
    </w:p>
    <w:p w:rsidR="0076001D" w:rsidRDefault="0034129A">
      <w:pPr>
        <w:ind w:left="914"/>
      </w:pPr>
      <w:r>
        <w:rPr>
          <w:noProof/>
          <w:lang w:val="es-ES" w:eastAsia="es-ES"/>
        </w:rPr>
        <w:drawing>
          <wp:inline distT="0" distB="0" distL="0" distR="0">
            <wp:extent cx="226695" cy="228511"/>
            <wp:effectExtent l="0" t="0" r="0" b="0"/>
            <wp:docPr id="9133" name="Picture 9133"/>
            <wp:cNvGraphicFramePr/>
            <a:graphic xmlns:a="http://schemas.openxmlformats.org/drawingml/2006/main">
              <a:graphicData uri="http://schemas.openxmlformats.org/drawingml/2006/picture">
                <pic:pic xmlns:pic="http://schemas.openxmlformats.org/drawingml/2006/picture">
                  <pic:nvPicPr>
                    <pic:cNvPr id="9133" name="Picture 9133"/>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Se registran tiempos de entre 2 y 3 días para la contingencia de </w:t>
      </w:r>
      <w:proofErr w:type="spellStart"/>
      <w:r>
        <w:t>Hiperconvergencia</w:t>
      </w:r>
      <w:proofErr w:type="spellEnd"/>
      <w:r>
        <w:t xml:space="preserve">, pese a que las pruebas realizadas en el 2019 evidencian que el proceso tarda aproximadamente 1 día. </w:t>
      </w:r>
    </w:p>
    <w:p w:rsidR="0076001D" w:rsidRDefault="0034129A">
      <w:pPr>
        <w:spacing w:after="4457" w:line="259" w:lineRule="auto"/>
        <w:ind w:left="0" w:firstLine="0"/>
        <w:jc w:val="left"/>
      </w:pPr>
      <w:r>
        <w:rPr>
          <w:sz w:val="24"/>
        </w:rPr>
        <w:t xml:space="preserve"> </w:t>
      </w:r>
    </w:p>
    <w:p w:rsidR="0076001D" w:rsidRDefault="0034129A">
      <w:pPr>
        <w:spacing w:after="159" w:line="259" w:lineRule="auto"/>
        <w:ind w:left="0" w:right="45" w:firstLine="0"/>
        <w:jc w:val="left"/>
      </w:pPr>
      <w:r>
        <w:rPr>
          <w:sz w:val="20"/>
        </w:rPr>
        <w:t xml:space="preserve"> </w:t>
      </w:r>
    </w:p>
    <w:p w:rsidR="0076001D" w:rsidRDefault="0034129A">
      <w:pPr>
        <w:ind w:left="901" w:hanging="5"/>
      </w:pPr>
      <w:r>
        <w:rPr>
          <w:rFonts w:ascii="Calibri" w:eastAsia="Calibri" w:hAnsi="Calibri" w:cs="Calibri"/>
          <w:noProof/>
          <w:lang w:val="es-ES" w:eastAsia="es-ES"/>
        </w:rPr>
        <mc:AlternateContent>
          <mc:Choice Requires="wpg">
            <w:drawing>
              <wp:anchor distT="0" distB="0" distL="114300" distR="114300" simplePos="0" relativeHeight="251667456" behindDoc="0" locked="0" layoutInCell="1" allowOverlap="1">
                <wp:simplePos x="0" y="0"/>
                <wp:positionH relativeFrom="column">
                  <wp:posOffset>344043</wp:posOffset>
                </wp:positionH>
                <wp:positionV relativeFrom="paragraph">
                  <wp:posOffset>-3094269</wp:posOffset>
                </wp:positionV>
                <wp:extent cx="5774056" cy="3218687"/>
                <wp:effectExtent l="0" t="0" r="0" b="0"/>
                <wp:wrapSquare wrapText="bothSides"/>
                <wp:docPr id="164244" name="Group 164244"/>
                <wp:cNvGraphicFramePr/>
                <a:graphic xmlns:a="http://schemas.openxmlformats.org/drawingml/2006/main">
                  <a:graphicData uri="http://schemas.microsoft.com/office/word/2010/wordprocessingGroup">
                    <wpg:wgp>
                      <wpg:cNvGrpSpPr/>
                      <wpg:grpSpPr>
                        <a:xfrm>
                          <a:off x="0" y="0"/>
                          <a:ext cx="5774056" cy="3218687"/>
                          <a:chOff x="0" y="0"/>
                          <a:chExt cx="5774056" cy="3218687"/>
                        </a:xfrm>
                      </wpg:grpSpPr>
                      <pic:pic xmlns:pic="http://schemas.openxmlformats.org/drawingml/2006/picture">
                        <pic:nvPicPr>
                          <pic:cNvPr id="9135" name="Picture 9135"/>
                          <pic:cNvPicPr/>
                        </pic:nvPicPr>
                        <pic:blipFill>
                          <a:blip r:embed="rId60"/>
                          <a:stretch>
                            <a:fillRect/>
                          </a:stretch>
                        </pic:blipFill>
                        <pic:spPr>
                          <a:xfrm>
                            <a:off x="0" y="2990177"/>
                            <a:ext cx="226695" cy="228511"/>
                          </a:xfrm>
                          <a:prstGeom prst="rect">
                            <a:avLst/>
                          </a:prstGeom>
                        </pic:spPr>
                      </pic:pic>
                      <pic:pic xmlns:pic="http://schemas.openxmlformats.org/drawingml/2006/picture">
                        <pic:nvPicPr>
                          <pic:cNvPr id="9139" name="Picture 9139"/>
                          <pic:cNvPicPr/>
                        </pic:nvPicPr>
                        <pic:blipFill>
                          <a:blip r:embed="rId116"/>
                          <a:stretch>
                            <a:fillRect/>
                          </a:stretch>
                        </pic:blipFill>
                        <pic:spPr>
                          <a:xfrm>
                            <a:off x="8255" y="0"/>
                            <a:ext cx="5765800" cy="2841625"/>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164244" style="width:454.65pt;height:253.44pt;position:absolute;mso-position-horizontal-relative:text;mso-position-horizontal:absolute;margin-left:27.09pt;mso-position-vertical-relative:text;margin-top:-243.643pt;" coordsize="57740,32186">
                <v:shape id="Picture 9135" style="position:absolute;width:2266;height:2285;left:0;top:29901;" filled="f">
                  <v:imagedata r:id="rId117"/>
                </v:shape>
                <v:shape id="Picture 9139" style="position:absolute;width:57658;height:28416;left:82;top:0;" filled="f">
                  <v:imagedata r:id="rId118"/>
                </v:shape>
                <w10:wrap type="square"/>
              </v:group>
            </w:pict>
          </mc:Fallback>
        </mc:AlternateContent>
      </w:r>
      <w:r>
        <w:rPr>
          <w:rFonts w:ascii="Times New Roman" w:eastAsia="Times New Roman" w:hAnsi="Times New Roman" w:cs="Times New Roman"/>
          <w:sz w:val="20"/>
        </w:rPr>
        <w:t xml:space="preserve">       </w:t>
      </w:r>
      <w:r>
        <w:t xml:space="preserve">Se observa que pese a que los servicios KOHA, OJS Y DSPACE se encuentran sobre la solución de </w:t>
      </w:r>
      <w:proofErr w:type="spellStart"/>
      <w:r>
        <w:t>Hiperconvergencia</w:t>
      </w:r>
      <w:proofErr w:type="spellEnd"/>
      <w:r>
        <w:t xml:space="preserve">, se establecen planes de continuidad de entre 21 y 31 días, cuando frente a un incidente invalidante la solución más ágil es recuperar la </w:t>
      </w:r>
    </w:p>
    <w:p w:rsidR="0076001D" w:rsidRDefault="0034129A">
      <w:pPr>
        <w:ind w:left="545" w:firstLine="0"/>
      </w:pPr>
      <w:proofErr w:type="spellStart"/>
      <w:r>
        <w:lastRenderedPageBreak/>
        <w:t>Hiperconvergencia</w:t>
      </w:r>
      <w:proofErr w:type="spellEnd"/>
      <w:r>
        <w:t xml:space="preserve">, dado que al contener </w:t>
      </w:r>
      <w:proofErr w:type="spellStart"/>
      <w:r>
        <w:t>snapshot</w:t>
      </w:r>
      <w:proofErr w:type="spellEnd"/>
      <w:r>
        <w:t xml:space="preserve">, su recuperación es más ágil y efectiva. </w:t>
      </w:r>
    </w:p>
    <w:p w:rsidR="0076001D" w:rsidRDefault="0034129A">
      <w:pPr>
        <w:ind w:left="914"/>
      </w:pPr>
      <w:r>
        <w:rPr>
          <w:noProof/>
          <w:lang w:val="es-ES" w:eastAsia="es-ES"/>
        </w:rPr>
        <w:drawing>
          <wp:inline distT="0" distB="0" distL="0" distR="0">
            <wp:extent cx="226695" cy="228511"/>
            <wp:effectExtent l="0" t="0" r="0" b="0"/>
            <wp:docPr id="9137" name="Picture 9137"/>
            <wp:cNvGraphicFramePr/>
            <a:graphic xmlns:a="http://schemas.openxmlformats.org/drawingml/2006/main">
              <a:graphicData uri="http://schemas.openxmlformats.org/drawingml/2006/picture">
                <pic:pic xmlns:pic="http://schemas.openxmlformats.org/drawingml/2006/picture">
                  <pic:nvPicPr>
                    <pic:cNvPr id="9137" name="Picture 9137"/>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El anexo 5 incluye un plan de acción para el sistema HUMANO, pese a que actualmente opera como un servicio SAAS y por lo tanto es el proveedor quien garantiza </w:t>
      </w:r>
    </w:p>
    <w:p w:rsidR="0076001D" w:rsidRDefault="0034129A">
      <w:pPr>
        <w:spacing w:after="158" w:line="259" w:lineRule="auto"/>
        <w:ind w:left="0" w:firstLine="0"/>
        <w:jc w:val="left"/>
      </w:pPr>
      <w:r>
        <w:rPr>
          <w:sz w:val="14"/>
        </w:rPr>
        <w:t xml:space="preserve"> </w:t>
      </w:r>
    </w:p>
    <w:p w:rsidR="0076001D" w:rsidRDefault="0034129A">
      <w:pPr>
        <w:ind w:left="900" w:firstLine="0"/>
      </w:pPr>
      <w:proofErr w:type="gramStart"/>
      <w:r>
        <w:t>la</w:t>
      </w:r>
      <w:proofErr w:type="gramEnd"/>
      <w:r>
        <w:t xml:space="preserve"> continuidad, como se observa en los siguientes apartes de los documentos contractuales: </w:t>
      </w:r>
    </w:p>
    <w:p w:rsidR="0076001D" w:rsidRDefault="0034129A">
      <w:pPr>
        <w:numPr>
          <w:ilvl w:val="0"/>
          <w:numId w:val="12"/>
        </w:numPr>
        <w:ind w:hanging="360"/>
      </w:pPr>
      <w:r>
        <w:t xml:space="preserve">ESTUDIOS PREVIOS: Se garantizaría la disponibilidad del servicio de la aplicación Humano  7x24x365,  iv)  El  </w:t>
      </w:r>
      <w:proofErr w:type="spellStart"/>
      <w:r>
        <w:t>lDEP</w:t>
      </w:r>
      <w:proofErr w:type="spellEnd"/>
      <w:r>
        <w:t xml:space="preserve">  contaría  con  el  servicio  de  </w:t>
      </w:r>
      <w:proofErr w:type="spellStart"/>
      <w:r>
        <w:t>Backup</w:t>
      </w:r>
      <w:proofErr w:type="spellEnd"/>
      <w:r>
        <w:t xml:space="preserve"> Full  diario  de  la  información  almacenada  en disco,  Liberando  de  esta  carga  a  la  entidad,  v)  El  </w:t>
      </w:r>
      <w:proofErr w:type="spellStart"/>
      <w:r>
        <w:t>lDEP</w:t>
      </w:r>
      <w:proofErr w:type="spellEnd"/>
      <w:r>
        <w:t xml:space="preserve">  tendría  disponible un  servidor  alterno  en   las instalaciones de  la entidad  para atender los  eventos de indisponibilidad y para instalar el </w:t>
      </w:r>
      <w:proofErr w:type="spellStart"/>
      <w:r>
        <w:t>backup</w:t>
      </w:r>
      <w:proofErr w:type="spellEnd"/>
      <w:r>
        <w:t xml:space="preserve"> mensual de la información que entregaría el proveedor como parte de sus obligaciones de servicio. </w:t>
      </w:r>
    </w:p>
    <w:p w:rsidR="0076001D" w:rsidRDefault="0034129A">
      <w:pPr>
        <w:numPr>
          <w:ilvl w:val="0"/>
          <w:numId w:val="12"/>
        </w:numPr>
        <w:ind w:hanging="360"/>
      </w:pPr>
      <w:r>
        <w:t xml:space="preserve">OBLIGACIONES </w:t>
      </w:r>
      <w:proofErr w:type="gramStart"/>
      <w:r>
        <w:t>ESPECIFICAS</w:t>
      </w:r>
      <w:proofErr w:type="gramEnd"/>
      <w:r>
        <w:t xml:space="preserve"> EP: 14. Disponibilidad de servicio 7 x 24 durante los 365 días del año, 15. Garantizar que el software soporte el IPv6 nativo en coexistencia con el lPv4., 16. Realizar el Monitoreo en el </w:t>
      </w:r>
      <w:proofErr w:type="spellStart"/>
      <w:r>
        <w:t>Datacenter</w:t>
      </w:r>
      <w:proofErr w:type="spellEnd"/>
      <w:r>
        <w:t xml:space="preserve"> que tiene dispuesto Soporte Lógico Ltda. en una disponibilidad de 7x24x365., 17. Realizar la entrega de </w:t>
      </w:r>
      <w:proofErr w:type="spellStart"/>
      <w:r>
        <w:t>backup</w:t>
      </w:r>
      <w:proofErr w:type="spellEnd"/>
      <w:r>
        <w:t xml:space="preserve"> mensual para almacenamiento local. 18. Realizar </w:t>
      </w:r>
      <w:proofErr w:type="spellStart"/>
      <w:r>
        <w:t>Backup</w:t>
      </w:r>
      <w:proofErr w:type="spellEnd"/>
      <w:r>
        <w:t xml:space="preserve"> Full diario de la información almacenada en disco y que pertenece al </w:t>
      </w:r>
      <w:proofErr w:type="spellStart"/>
      <w:r>
        <w:t>lDEP</w:t>
      </w:r>
      <w:proofErr w:type="spellEnd"/>
      <w:r>
        <w:t xml:space="preserve">. </w:t>
      </w:r>
    </w:p>
    <w:p w:rsidR="0076001D" w:rsidRDefault="0034129A">
      <w:pPr>
        <w:numPr>
          <w:ilvl w:val="0"/>
          <w:numId w:val="12"/>
        </w:numPr>
        <w:ind w:hanging="360"/>
      </w:pPr>
      <w:r>
        <w:t xml:space="preserve">OFERTA: La garantía de disponibilidad de la aplicación, es parte de la responsabilidad que Soporte Lógico Ltda. se compromete a ofrecer a sus clientes. </w:t>
      </w:r>
    </w:p>
    <w:p w:rsidR="0076001D" w:rsidRDefault="0034129A">
      <w:pPr>
        <w:spacing w:after="0" w:line="259" w:lineRule="auto"/>
        <w:ind w:left="0" w:firstLine="0"/>
        <w:jc w:val="left"/>
      </w:pPr>
      <w:r>
        <w:rPr>
          <w:sz w:val="20"/>
        </w:rPr>
        <w:t xml:space="preserve"> </w:t>
      </w:r>
    </w:p>
    <w:p w:rsidR="0076001D" w:rsidRDefault="0034129A">
      <w:pPr>
        <w:spacing w:after="107"/>
        <w:ind w:left="914"/>
      </w:pPr>
      <w:r>
        <w:rPr>
          <w:noProof/>
          <w:lang w:val="es-ES" w:eastAsia="es-ES"/>
        </w:rPr>
        <w:drawing>
          <wp:inline distT="0" distB="0" distL="0" distR="0">
            <wp:extent cx="177800" cy="178435"/>
            <wp:effectExtent l="0" t="0" r="0" b="0"/>
            <wp:docPr id="9343" name="Picture 9343"/>
            <wp:cNvGraphicFramePr/>
            <a:graphic xmlns:a="http://schemas.openxmlformats.org/drawingml/2006/main">
              <a:graphicData uri="http://schemas.openxmlformats.org/drawingml/2006/picture">
                <pic:pic xmlns:pic="http://schemas.openxmlformats.org/drawingml/2006/picture">
                  <pic:nvPicPr>
                    <pic:cNvPr id="9343" name="Picture 9343"/>
                    <pic:cNvPicPr/>
                  </pic:nvPicPr>
                  <pic:blipFill>
                    <a:blip r:embed="rId119"/>
                    <a:stretch>
                      <a:fillRect/>
                    </a:stretch>
                  </pic:blipFill>
                  <pic:spPr>
                    <a:xfrm>
                      <a:off x="0" y="0"/>
                      <a:ext cx="177800" cy="178435"/>
                    </a:xfrm>
                    <a:prstGeom prst="rect">
                      <a:avLst/>
                    </a:prstGeom>
                  </pic:spPr>
                </pic:pic>
              </a:graphicData>
            </a:graphic>
          </wp:inline>
        </w:drawing>
      </w:r>
      <w:r>
        <w:rPr>
          <w:rFonts w:ascii="Times New Roman" w:eastAsia="Times New Roman" w:hAnsi="Times New Roman" w:cs="Times New Roman"/>
          <w:sz w:val="20"/>
        </w:rPr>
        <w:t xml:space="preserve">     </w:t>
      </w:r>
      <w:r>
        <w:t xml:space="preserve">Los planes de contingencia tanto para fallos en la configuración o fallo total del firewall incluyen las actividades adecuadas y los tiempos estimados son pertinentes. Es importante que en la renovación de los contratos del firewall se mantenga la condición de tener equipos temporales como contingencia en caso de daños en el hardware </w:t>
      </w:r>
    </w:p>
    <w:p w:rsidR="0076001D" w:rsidRDefault="0034129A">
      <w:pPr>
        <w:spacing w:after="0" w:line="259" w:lineRule="auto"/>
        <w:ind w:left="0" w:right="8779" w:firstLine="0"/>
        <w:jc w:val="left"/>
      </w:pPr>
      <w:r>
        <w:rPr>
          <w:sz w:val="34"/>
        </w:rPr>
        <w:t xml:space="preserve"> </w:t>
      </w:r>
    </w:p>
    <w:p w:rsidR="0076001D" w:rsidRDefault="0034129A">
      <w:pPr>
        <w:ind w:left="716" w:hanging="171"/>
      </w:pPr>
      <w:r>
        <w:rPr>
          <w:noProof/>
          <w:lang w:val="es-ES" w:eastAsia="es-ES"/>
        </w:rPr>
        <w:drawing>
          <wp:inline distT="0" distB="0" distL="0" distR="0">
            <wp:extent cx="227546" cy="136525"/>
            <wp:effectExtent l="0" t="0" r="0" b="0"/>
            <wp:docPr id="9172" name="Picture 9172"/>
            <wp:cNvGraphicFramePr/>
            <a:graphic xmlns:a="http://schemas.openxmlformats.org/drawingml/2006/main">
              <a:graphicData uri="http://schemas.openxmlformats.org/drawingml/2006/picture">
                <pic:pic xmlns:pic="http://schemas.openxmlformats.org/drawingml/2006/picture">
                  <pic:nvPicPr>
                    <pic:cNvPr id="9172" name="Picture 9172"/>
                    <pic:cNvPicPr/>
                  </pic:nvPicPr>
                  <pic:blipFill>
                    <a:blip r:embed="rId8"/>
                    <a:stretch>
                      <a:fillRect/>
                    </a:stretch>
                  </pic:blipFill>
                  <pic:spPr>
                    <a:xfrm>
                      <a:off x="0" y="0"/>
                      <a:ext cx="227546" cy="136525"/>
                    </a:xfrm>
                    <a:prstGeom prst="rect">
                      <a:avLst/>
                    </a:prstGeom>
                  </pic:spPr>
                </pic:pic>
              </a:graphicData>
            </a:graphic>
          </wp:inline>
        </w:drawing>
      </w:r>
      <w:r>
        <w:t xml:space="preserve"> En cuanto al plan de contingencia de la consola del antivirus, es correcto en su plan de acción, pero no se especifica la supervisión y acompañamiento del IDEP a las actividades del proveedor que acceso remoto del antivirus al servidor de dominio. </w:t>
      </w:r>
    </w:p>
    <w:p w:rsidR="0076001D" w:rsidRDefault="0034129A">
      <w:pPr>
        <w:ind w:left="914"/>
      </w:pPr>
      <w:r>
        <w:rPr>
          <w:noProof/>
          <w:lang w:val="es-ES" w:eastAsia="es-ES"/>
        </w:rPr>
        <w:drawing>
          <wp:inline distT="0" distB="0" distL="0" distR="0">
            <wp:extent cx="226695" cy="228511"/>
            <wp:effectExtent l="0" t="0" r="0" b="0"/>
            <wp:docPr id="9345" name="Picture 9345"/>
            <wp:cNvGraphicFramePr/>
            <a:graphic xmlns:a="http://schemas.openxmlformats.org/drawingml/2006/main">
              <a:graphicData uri="http://schemas.openxmlformats.org/drawingml/2006/picture">
                <pic:pic xmlns:pic="http://schemas.openxmlformats.org/drawingml/2006/picture">
                  <pic:nvPicPr>
                    <pic:cNvPr id="9345" name="Picture 9345"/>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El Plan de contingencia no incluye los resultados de los informes de cada plan de acción, como insumos para la actualización y mejora continua del Plan y de la matriz de riesgos. </w:t>
      </w:r>
    </w:p>
    <w:p w:rsidR="0076001D" w:rsidRDefault="0034129A">
      <w:pPr>
        <w:ind w:left="545" w:firstLine="0"/>
      </w:pPr>
      <w:r>
        <w:rPr>
          <w:noProof/>
          <w:lang w:val="es-ES" w:eastAsia="es-ES"/>
        </w:rPr>
        <w:drawing>
          <wp:inline distT="0" distB="0" distL="0" distR="0">
            <wp:extent cx="226695" cy="228511"/>
            <wp:effectExtent l="0" t="0" r="0" b="0"/>
            <wp:docPr id="9347" name="Picture 9347"/>
            <wp:cNvGraphicFramePr/>
            <a:graphic xmlns:a="http://schemas.openxmlformats.org/drawingml/2006/main">
              <a:graphicData uri="http://schemas.openxmlformats.org/drawingml/2006/picture">
                <pic:pic xmlns:pic="http://schemas.openxmlformats.org/drawingml/2006/picture">
                  <pic:nvPicPr>
                    <pic:cNvPr id="9347" name="Picture 9347"/>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Los instructivos relacionados en los planes de contingencia del firewall y base de datos </w:t>
      </w:r>
    </w:p>
    <w:p w:rsidR="0076001D" w:rsidRDefault="0034129A">
      <w:pPr>
        <w:tabs>
          <w:tab w:val="center" w:pos="1255"/>
          <w:tab w:val="center" w:pos="2615"/>
          <w:tab w:val="center" w:pos="4366"/>
          <w:tab w:val="center" w:pos="6292"/>
          <w:tab w:val="center" w:pos="7974"/>
          <w:tab w:val="center" w:pos="8938"/>
          <w:tab w:val="right" w:pos="9680"/>
        </w:tabs>
        <w:ind w:left="0" w:firstLine="0"/>
        <w:jc w:val="left"/>
      </w:pPr>
      <w:r>
        <w:rPr>
          <w:rFonts w:ascii="Calibri" w:eastAsia="Calibri" w:hAnsi="Calibri" w:cs="Calibri"/>
        </w:rPr>
        <w:tab/>
      </w:r>
      <w:r>
        <w:t xml:space="preserve">Oracle: </w:t>
      </w:r>
      <w:r>
        <w:tab/>
        <w:t xml:space="preserve">IN-GTH-12-09 </w:t>
      </w:r>
      <w:r>
        <w:tab/>
        <w:t xml:space="preserve">INSTRUCTIVO </w:t>
      </w:r>
      <w:r>
        <w:tab/>
        <w:t xml:space="preserve">RESTAURACIÓN </w:t>
      </w:r>
      <w:r>
        <w:tab/>
        <w:t xml:space="preserve">ARCHIVO </w:t>
      </w:r>
      <w:r>
        <w:tab/>
        <w:t xml:space="preserve">DE </w:t>
      </w:r>
      <w:r>
        <w:tab/>
        <w:t xml:space="preserve">LA </w:t>
      </w:r>
    </w:p>
    <w:p w:rsidR="0076001D" w:rsidRDefault="0034129A">
      <w:pPr>
        <w:ind w:left="900" w:firstLine="0"/>
      </w:pPr>
      <w:r>
        <w:t xml:space="preserve">CONFIGURACIÓN DEL FIREWALL e IN-GTH-12-05 INSTRUCTIVO PARA RESTAURAR </w:t>
      </w:r>
    </w:p>
    <w:p w:rsidR="0076001D" w:rsidRDefault="0034129A">
      <w:pPr>
        <w:ind w:left="900" w:firstLine="0"/>
      </w:pPr>
      <w:r>
        <w:t xml:space="preserve">BACKUP MAQUINA – SERVIDOR G4PRUEBAS BASE DE DATOS.  </w:t>
      </w:r>
      <w:proofErr w:type="gramStart"/>
      <w:r>
        <w:t>no</w:t>
      </w:r>
      <w:proofErr w:type="gramEnd"/>
      <w:r>
        <w:t xml:space="preserve"> </w:t>
      </w:r>
    </w:p>
    <w:p w:rsidR="0076001D" w:rsidRDefault="0034129A">
      <w:pPr>
        <w:spacing w:after="27"/>
        <w:ind w:left="900" w:firstLine="0"/>
      </w:pPr>
      <w:proofErr w:type="gramStart"/>
      <w:r>
        <w:t>están</w:t>
      </w:r>
      <w:proofErr w:type="gramEnd"/>
      <w:r>
        <w:t xml:space="preserve"> publicados, ni fueron entregados a la auditoria, adicionalmente su codificación </w:t>
      </w:r>
    </w:p>
    <w:p w:rsidR="0076001D" w:rsidRDefault="0034129A">
      <w:pPr>
        <w:ind w:left="900" w:firstLine="0"/>
      </w:pPr>
      <w:r>
        <w:t xml:space="preserve">"GTH", no concuerda con los instructivos del Gestión Tecnológica "GT”, presumiendo un error de tipografía tampoco concuerda ya que el IN- GT-12-05 publicado, hace referencia al INSTRUCTIVO PARA CAMBIO DE CONTRASEÑA DE INGRESO AL SISTEMA DE INFORMACIÓN GOOBI. De igual manera en el Seguimiento al Plan de Mejoramiento 2019 </w:t>
      </w:r>
      <w:r>
        <w:lastRenderedPageBreak/>
        <w:t>"</w:t>
      </w:r>
      <w:r>
        <w:rPr>
          <w:i/>
        </w:rPr>
        <w:t xml:space="preserve">PMX </w:t>
      </w:r>
      <w:proofErr w:type="spellStart"/>
      <w:r>
        <w:rPr>
          <w:i/>
        </w:rPr>
        <w:t>Seguim</w:t>
      </w:r>
      <w:proofErr w:type="spellEnd"/>
      <w:r>
        <w:rPr>
          <w:i/>
        </w:rPr>
        <w:t xml:space="preserve"> Control </w:t>
      </w:r>
      <w:proofErr w:type="spellStart"/>
      <w:r>
        <w:rPr>
          <w:i/>
        </w:rPr>
        <w:t>Int</w:t>
      </w:r>
      <w:proofErr w:type="spellEnd"/>
      <w:r>
        <w:rPr>
          <w:i/>
        </w:rPr>
        <w:t xml:space="preserve"> 2019 -2 .</w:t>
      </w:r>
      <w:proofErr w:type="spellStart"/>
      <w:r>
        <w:rPr>
          <w:i/>
        </w:rPr>
        <w:t>xls</w:t>
      </w:r>
      <w:proofErr w:type="spellEnd"/>
      <w:r>
        <w:t>" se hace referencia al instrutivo</w:t>
      </w:r>
      <w:proofErr w:type="gramStart"/>
      <w:r>
        <w:t>:IN</w:t>
      </w:r>
      <w:proofErr w:type="gramEnd"/>
      <w:r>
        <w:t xml:space="preserve">-GT-12-04 Instructivo Para Restaurar </w:t>
      </w:r>
      <w:proofErr w:type="spellStart"/>
      <w:r>
        <w:t>Backup</w:t>
      </w:r>
      <w:proofErr w:type="spellEnd"/>
      <w:r>
        <w:t xml:space="preserve"> Maquina – Servidor G4- Pruebas Base De Datos, lo cual confirma la inconsistencia con el código IN-GTH-12-05. Los códigos tampoco coinciden en el FT-MIC-03-08 Listado Maestro Documentos 2019.xls. </w:t>
      </w:r>
    </w:p>
    <w:p w:rsidR="0076001D" w:rsidRDefault="0034129A">
      <w:pPr>
        <w:spacing w:after="0" w:line="259" w:lineRule="auto"/>
        <w:ind w:left="0" w:firstLine="0"/>
        <w:jc w:val="left"/>
      </w:pPr>
      <w:r>
        <w:rPr>
          <w:sz w:val="21"/>
        </w:rPr>
        <w:t xml:space="preserve"> </w:t>
      </w:r>
    </w:p>
    <w:p w:rsidR="0076001D" w:rsidRDefault="0034129A">
      <w:pPr>
        <w:ind w:left="900" w:firstLine="0"/>
      </w:pPr>
      <w:r>
        <w:t xml:space="preserve">Esta situación resulta riesgosa, ya que parte de la efectividad de un plan de contingencia es que los instrumentos y protocolos de operación sean claros y estén disponibles, sin que exista dependencia de personas en particular.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128" w:line="259" w:lineRule="auto"/>
        <w:ind w:left="0" w:firstLine="0"/>
        <w:jc w:val="left"/>
      </w:pPr>
      <w:r>
        <w:rPr>
          <w:sz w:val="20"/>
        </w:rPr>
        <w:t xml:space="preserve"> </w:t>
      </w:r>
    </w:p>
    <w:p w:rsidR="0076001D" w:rsidRDefault="0034129A">
      <w:pPr>
        <w:spacing w:after="145"/>
        <w:ind w:left="716" w:hanging="171"/>
      </w:pPr>
      <w:r>
        <w:rPr>
          <w:noProof/>
          <w:lang w:val="es-ES" w:eastAsia="es-ES"/>
        </w:rPr>
        <w:drawing>
          <wp:inline distT="0" distB="0" distL="0" distR="0">
            <wp:extent cx="227546" cy="136525"/>
            <wp:effectExtent l="0" t="0" r="0" b="0"/>
            <wp:docPr id="9394" name="Picture 9394"/>
            <wp:cNvGraphicFramePr/>
            <a:graphic xmlns:a="http://schemas.openxmlformats.org/drawingml/2006/main">
              <a:graphicData uri="http://schemas.openxmlformats.org/drawingml/2006/picture">
                <pic:pic xmlns:pic="http://schemas.openxmlformats.org/drawingml/2006/picture">
                  <pic:nvPicPr>
                    <pic:cNvPr id="9394" name="Picture 9394"/>
                    <pic:cNvPicPr/>
                  </pic:nvPicPr>
                  <pic:blipFill>
                    <a:blip r:embed="rId8"/>
                    <a:stretch>
                      <a:fillRect/>
                    </a:stretch>
                  </pic:blipFill>
                  <pic:spPr>
                    <a:xfrm>
                      <a:off x="0" y="0"/>
                      <a:ext cx="227546" cy="136525"/>
                    </a:xfrm>
                    <a:prstGeom prst="rect">
                      <a:avLst/>
                    </a:prstGeom>
                  </pic:spPr>
                </pic:pic>
              </a:graphicData>
            </a:graphic>
          </wp:inline>
        </w:drawing>
      </w:r>
      <w:r>
        <w:t xml:space="preserve"> No se han adelantado las pruebas del plan de continuidad que incluyan simulacros totales de operación en contingencia y (BCP, DRP) para ofrecer evidencia de la verificación, revisión y evaluación de la continuidad de la operación y la seguridad de la información. El proceso manifiesta que se planea realizar una vez se supere la contingencia COVID 19, la cual ha permitido probar la efectividad de los accesos remotos para teletrabajo, cuyos resultados deben ser documentados y presentados como evidencia del Plan de Continuidad. </w:t>
      </w:r>
    </w:p>
    <w:p w:rsidR="0076001D" w:rsidRDefault="0034129A">
      <w:pPr>
        <w:spacing w:after="55"/>
        <w:ind w:left="713" w:firstLine="535"/>
      </w:pPr>
      <w:r>
        <w:rPr>
          <w:noProof/>
          <w:lang w:val="es-ES" w:eastAsia="es-ES"/>
        </w:rPr>
        <w:drawing>
          <wp:anchor distT="0" distB="0" distL="114300" distR="114300" simplePos="0" relativeHeight="251668480" behindDoc="0" locked="0" layoutInCell="1" allowOverlap="0">
            <wp:simplePos x="0" y="0"/>
            <wp:positionH relativeFrom="column">
              <wp:posOffset>344043</wp:posOffset>
            </wp:positionH>
            <wp:positionV relativeFrom="paragraph">
              <wp:posOffset>104283</wp:posOffset>
            </wp:positionV>
            <wp:extent cx="227546" cy="136525"/>
            <wp:effectExtent l="0" t="0" r="0" b="0"/>
            <wp:wrapNone/>
            <wp:docPr id="9396" name="Picture 9396"/>
            <wp:cNvGraphicFramePr/>
            <a:graphic xmlns:a="http://schemas.openxmlformats.org/drawingml/2006/main">
              <a:graphicData uri="http://schemas.openxmlformats.org/drawingml/2006/picture">
                <pic:pic xmlns:pic="http://schemas.openxmlformats.org/drawingml/2006/picture">
                  <pic:nvPicPr>
                    <pic:cNvPr id="9396" name="Picture 9396"/>
                    <pic:cNvPicPr/>
                  </pic:nvPicPr>
                  <pic:blipFill>
                    <a:blip r:embed="rId8"/>
                    <a:stretch>
                      <a:fillRect/>
                    </a:stretch>
                  </pic:blipFill>
                  <pic:spPr>
                    <a:xfrm>
                      <a:off x="0" y="0"/>
                      <a:ext cx="227546" cy="136525"/>
                    </a:xfrm>
                    <a:prstGeom prst="rect">
                      <a:avLst/>
                    </a:prstGeom>
                  </pic:spPr>
                </pic:pic>
              </a:graphicData>
            </a:graphic>
          </wp:anchor>
        </w:drawing>
      </w:r>
      <w:r>
        <w:t xml:space="preserve">El plan no incluye las actividades, tiempos y responsables para los planes de recuperación de la operación normal una vez superada la falla que origino la activación de la contingencia. </w:t>
      </w:r>
    </w:p>
    <w:p w:rsidR="0076001D" w:rsidRDefault="0034129A">
      <w:pPr>
        <w:ind w:left="716" w:hanging="171"/>
      </w:pPr>
      <w:r>
        <w:rPr>
          <w:noProof/>
          <w:lang w:val="es-ES" w:eastAsia="es-ES"/>
        </w:rPr>
        <w:drawing>
          <wp:inline distT="0" distB="0" distL="0" distR="0">
            <wp:extent cx="227546" cy="136525"/>
            <wp:effectExtent l="0" t="0" r="0" b="0"/>
            <wp:docPr id="9398" name="Picture 9398"/>
            <wp:cNvGraphicFramePr/>
            <a:graphic xmlns:a="http://schemas.openxmlformats.org/drawingml/2006/main">
              <a:graphicData uri="http://schemas.openxmlformats.org/drawingml/2006/picture">
                <pic:pic xmlns:pic="http://schemas.openxmlformats.org/drawingml/2006/picture">
                  <pic:nvPicPr>
                    <pic:cNvPr id="9398" name="Picture 9398"/>
                    <pic:cNvPicPr/>
                  </pic:nvPicPr>
                  <pic:blipFill>
                    <a:blip r:embed="rId8"/>
                    <a:stretch>
                      <a:fillRect/>
                    </a:stretch>
                  </pic:blipFill>
                  <pic:spPr>
                    <a:xfrm>
                      <a:off x="0" y="0"/>
                      <a:ext cx="227546" cy="136525"/>
                    </a:xfrm>
                    <a:prstGeom prst="rect">
                      <a:avLst/>
                    </a:prstGeom>
                  </pic:spPr>
                </pic:pic>
              </a:graphicData>
            </a:graphic>
          </wp:inline>
        </w:drawing>
      </w:r>
      <w:r>
        <w:t xml:space="preserve"> El plan debe ser evolucionado a la construcción de los guiones o protocolos de contingencia y recuperación para los diferentes actores, y la sincronización de datos entre los ambientes de contingencia y el retorno a productivo. </w:t>
      </w:r>
    </w:p>
    <w:p w:rsidR="0076001D" w:rsidRDefault="0034129A">
      <w:pPr>
        <w:spacing w:after="0" w:line="259" w:lineRule="auto"/>
        <w:ind w:left="0" w:firstLine="0"/>
        <w:jc w:val="left"/>
      </w:pPr>
      <w:r>
        <w:rPr>
          <w:sz w:val="24"/>
        </w:rPr>
        <w:t xml:space="preserve"> </w:t>
      </w:r>
    </w:p>
    <w:p w:rsidR="0076001D" w:rsidRDefault="0034129A">
      <w:pPr>
        <w:spacing w:after="0" w:line="259" w:lineRule="auto"/>
        <w:ind w:left="0" w:firstLine="0"/>
        <w:jc w:val="left"/>
      </w:pPr>
      <w:r>
        <w:t xml:space="preserve"> </w:t>
      </w:r>
    </w:p>
    <w:p w:rsidR="0076001D" w:rsidRDefault="0034129A">
      <w:pPr>
        <w:pStyle w:val="Ttulo4"/>
        <w:ind w:left="538"/>
      </w:pPr>
      <w:r>
        <w:t xml:space="preserve">5.1.3.3 Procedimientos de </w:t>
      </w:r>
      <w:proofErr w:type="spellStart"/>
      <w:r>
        <w:t>Backup</w:t>
      </w:r>
      <w:proofErr w:type="spellEnd"/>
      <w:r>
        <w:t xml:space="preserve"> y Recuperación </w:t>
      </w:r>
    </w:p>
    <w:p w:rsidR="0076001D" w:rsidRDefault="0034129A">
      <w:pPr>
        <w:spacing w:after="0" w:line="259" w:lineRule="auto"/>
        <w:ind w:left="0" w:firstLine="0"/>
        <w:jc w:val="left"/>
      </w:pPr>
      <w:r>
        <w:rPr>
          <w:b/>
          <w:sz w:val="20"/>
        </w:rPr>
        <w:t xml:space="preserve"> </w:t>
      </w:r>
    </w:p>
    <w:p w:rsidR="0076001D" w:rsidRDefault="0034129A">
      <w:pPr>
        <w:numPr>
          <w:ilvl w:val="0"/>
          <w:numId w:val="13"/>
        </w:numPr>
        <w:ind w:left="914"/>
      </w:pPr>
      <w:r>
        <w:t xml:space="preserve">Se han documentado adecuadamente los procedimientos de </w:t>
      </w:r>
      <w:proofErr w:type="spellStart"/>
      <w:r>
        <w:t>Backup</w:t>
      </w:r>
      <w:proofErr w:type="spellEnd"/>
      <w:r>
        <w:t xml:space="preserve"> y recuperación en el MN-GT-12-08 Manual gestión de </w:t>
      </w:r>
      <w:proofErr w:type="spellStart"/>
      <w:r>
        <w:t>backup</w:t>
      </w:r>
      <w:proofErr w:type="spellEnd"/>
      <w:r>
        <w:t xml:space="preserve"> V1, en el cual se definen correctamente las políticas para </w:t>
      </w:r>
      <w:proofErr w:type="spellStart"/>
      <w:r>
        <w:t>backups</w:t>
      </w:r>
      <w:proofErr w:type="spellEnd"/>
      <w:r>
        <w:t xml:space="preserve"> de las bases de datos de los Servicio Informáticos del IDEP, a los aplicativos de los sistemas de información del IDEP, al dominio Windows, al Firewall, al Sistema de Control Biométrico, a la Consola de antivirus, a carpetas Institucionales. Además de detallar los pasos para la generación y gestión de copias de seguridad para </w:t>
      </w:r>
      <w:proofErr w:type="spellStart"/>
      <w:r>
        <w:t>Backup</w:t>
      </w:r>
      <w:proofErr w:type="spellEnd"/>
      <w:r>
        <w:t xml:space="preserve"> para el Portal WEB Institucional (PWI), a las bases de datos del Portal WEB Institucional (PWI), los </w:t>
      </w:r>
      <w:proofErr w:type="spellStart"/>
      <w:r>
        <w:t>Micrositios</w:t>
      </w:r>
      <w:proofErr w:type="spellEnd"/>
      <w:r>
        <w:t xml:space="preserve"> y las Revistas, las bases de datos Oracle, el aplicativo GOOBI, la biblioteca virtual KOHA, las bases de datos de la biblioteca virtual KOHA, la configuración del Firewall </w:t>
      </w:r>
      <w:proofErr w:type="spellStart"/>
      <w:r>
        <w:t>Fortinet</w:t>
      </w:r>
      <w:proofErr w:type="spellEnd"/>
      <w:r>
        <w:t xml:space="preserve">, la configuración de la Consola de Antivirus, las carpetas institucionales y al Sistema de Control de Acceso Biométrico. </w:t>
      </w:r>
    </w:p>
    <w:p w:rsidR="0076001D" w:rsidRDefault="0034129A">
      <w:pPr>
        <w:spacing w:after="0" w:line="259" w:lineRule="auto"/>
        <w:ind w:left="0" w:right="8858" w:firstLine="0"/>
        <w:jc w:val="left"/>
      </w:pPr>
      <w:r>
        <w:rPr>
          <w:sz w:val="20"/>
        </w:rPr>
        <w:t xml:space="preserve"> </w:t>
      </w:r>
    </w:p>
    <w:p w:rsidR="0076001D" w:rsidRDefault="0034129A">
      <w:pPr>
        <w:numPr>
          <w:ilvl w:val="0"/>
          <w:numId w:val="13"/>
        </w:numPr>
        <w:ind w:left="914"/>
      </w:pPr>
      <w:r>
        <w:t xml:space="preserve">En manual para la gestión de </w:t>
      </w:r>
      <w:proofErr w:type="spellStart"/>
      <w:r>
        <w:t>backup</w:t>
      </w:r>
      <w:proofErr w:type="spellEnd"/>
      <w:r>
        <w:t xml:space="preserve">, también se encuentran detallados correctamente los procedimientos para realizar las pruebas de recuperación de las copias de seguridad que se generan. </w:t>
      </w:r>
    </w:p>
    <w:p w:rsidR="0076001D" w:rsidRDefault="0034129A">
      <w:pPr>
        <w:spacing w:after="0" w:line="259" w:lineRule="auto"/>
        <w:ind w:left="0" w:firstLine="0"/>
        <w:jc w:val="left"/>
      </w:pPr>
      <w:r>
        <w:rPr>
          <w:sz w:val="20"/>
        </w:rPr>
        <w:t xml:space="preserve"> </w:t>
      </w:r>
    </w:p>
    <w:p w:rsidR="0076001D" w:rsidRDefault="0034129A">
      <w:pPr>
        <w:numPr>
          <w:ilvl w:val="0"/>
          <w:numId w:val="13"/>
        </w:numPr>
        <w:ind w:left="914"/>
      </w:pPr>
      <w:r>
        <w:lastRenderedPageBreak/>
        <w:t xml:space="preserve">Las copias de seguridad se están almacenando en los propios servidores donde se generan, en las carpetas de </w:t>
      </w:r>
      <w:proofErr w:type="spellStart"/>
      <w:r>
        <w:t>backups</w:t>
      </w:r>
      <w:proofErr w:type="spellEnd"/>
      <w:r>
        <w:t xml:space="preserve"> del servidor de archivos y en medios externos, lo que garantiza la posibilidad de obtener las copias desde diferentes medios. Se documentó de forma adecuada el almacenamiento de la información que generan los usuarios en las carpetas compartidas (IN-GT-12-02 Instructivo para el almacenamiento de información en Carpetas Compartidas V1), teniendo en cuenta la estructura definida en las tablas de retención documental, donde se define las reglas, condiciones y proceso de almacenamiento de esta información y que además es objeto de copia de seguridad semanal. </w:t>
      </w:r>
    </w:p>
    <w:p w:rsidR="0076001D" w:rsidRDefault="0034129A">
      <w:pPr>
        <w:spacing w:after="0" w:line="259" w:lineRule="auto"/>
        <w:ind w:left="0" w:firstLine="0"/>
        <w:jc w:val="left"/>
      </w:pPr>
      <w:r>
        <w:rPr>
          <w:sz w:val="27"/>
        </w:rPr>
        <w:t xml:space="preserve"> </w:t>
      </w:r>
    </w:p>
    <w:p w:rsidR="0076001D" w:rsidRDefault="0034129A">
      <w:pPr>
        <w:spacing w:after="0" w:line="259" w:lineRule="auto"/>
        <w:ind w:left="542" w:firstLine="0"/>
        <w:jc w:val="left"/>
      </w:pPr>
      <w:r>
        <w:rPr>
          <w:noProof/>
          <w:lang w:val="es-ES" w:eastAsia="es-ES"/>
        </w:rPr>
        <w:drawing>
          <wp:inline distT="0" distB="0" distL="0" distR="0">
            <wp:extent cx="227546" cy="136525"/>
            <wp:effectExtent l="0" t="0" r="0" b="0"/>
            <wp:docPr id="9589" name="Picture 9589"/>
            <wp:cNvGraphicFramePr/>
            <a:graphic xmlns:a="http://schemas.openxmlformats.org/drawingml/2006/main">
              <a:graphicData uri="http://schemas.openxmlformats.org/drawingml/2006/picture">
                <pic:pic xmlns:pic="http://schemas.openxmlformats.org/drawingml/2006/picture">
                  <pic:nvPicPr>
                    <pic:cNvPr id="9589" name="Picture 9589"/>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spacing w:after="54"/>
        <w:ind w:left="545" w:firstLine="410"/>
      </w:pPr>
      <w:r>
        <w:t>El tiempo de realización de las pruebas de restauración es el mismo para todos los elementos a los que se les genera copias de seguridad: “</w:t>
      </w:r>
      <w:r>
        <w:rPr>
          <w:i/>
        </w:rPr>
        <w:t>por lo menos una vez en cada vigencia”</w:t>
      </w:r>
      <w:r>
        <w:t xml:space="preserve">, esto implica muy pocas pruebas para objetos de </w:t>
      </w:r>
      <w:proofErr w:type="spellStart"/>
      <w:r>
        <w:t>backups</w:t>
      </w:r>
      <w:proofErr w:type="spellEnd"/>
      <w:r>
        <w:t xml:space="preserve"> que deben  verificarse por lo menos una vez al mes, tales como las bases de datos que contienen información y transacciones diarias, que en caso de contingencia al no verificar si hay daños en las copias de seguridad podrían ocasionar perdida de información y/o </w:t>
      </w:r>
      <w:proofErr w:type="spellStart"/>
      <w:r>
        <w:t>retrabajos</w:t>
      </w:r>
      <w:proofErr w:type="spellEnd"/>
      <w:r>
        <w:t xml:space="preserve"> para su restauración. Para objetos tales como firewall, consola de antivirus, dominio, objetos que no tienen alta modificación es pertinente una única prueba anual. </w:t>
      </w:r>
    </w:p>
    <w:p w:rsidR="0076001D" w:rsidRDefault="0034129A">
      <w:pPr>
        <w:ind w:left="0" w:firstLine="542"/>
      </w:pPr>
      <w:r>
        <w:rPr>
          <w:noProof/>
          <w:lang w:val="es-ES" w:eastAsia="es-ES"/>
        </w:rPr>
        <w:drawing>
          <wp:inline distT="0" distB="0" distL="0" distR="0">
            <wp:extent cx="227546" cy="136525"/>
            <wp:effectExtent l="0" t="0" r="0" b="0"/>
            <wp:docPr id="9591" name="Picture 9591"/>
            <wp:cNvGraphicFramePr/>
            <a:graphic xmlns:a="http://schemas.openxmlformats.org/drawingml/2006/main">
              <a:graphicData uri="http://schemas.openxmlformats.org/drawingml/2006/picture">
                <pic:pic xmlns:pic="http://schemas.openxmlformats.org/drawingml/2006/picture">
                  <pic:nvPicPr>
                    <pic:cNvPr id="9591" name="Picture 9591"/>
                    <pic:cNvPicPr/>
                  </pic:nvPicPr>
                  <pic:blipFill>
                    <a:blip r:embed="rId8"/>
                    <a:stretch>
                      <a:fillRect/>
                    </a:stretch>
                  </pic:blipFill>
                  <pic:spPr>
                    <a:xfrm>
                      <a:off x="0" y="0"/>
                      <a:ext cx="227546" cy="136525"/>
                    </a:xfrm>
                    <a:prstGeom prst="rect">
                      <a:avLst/>
                    </a:prstGeom>
                  </pic:spPr>
                </pic:pic>
              </a:graphicData>
            </a:graphic>
          </wp:inline>
        </w:drawing>
      </w:r>
      <w:r>
        <w:t xml:space="preserve"> Si bien la documentación y estrategias de copias de seguridad es correcta, debe complementarse con un formato de Plan de </w:t>
      </w:r>
      <w:proofErr w:type="spellStart"/>
      <w:r>
        <w:t>Backups</w:t>
      </w:r>
      <w:proofErr w:type="spellEnd"/>
      <w:r>
        <w:t xml:space="preserve"> único que permita identificar, en un único documento, de forma rápida y clara todos los objetos a los que se les está generando copias de seguridad, sus frecuencias, tiempos de retención, responsables, etc. que además permita encontrar la disposición final de todas las copias de seguridad de la información respaldada rápidamente para así poder recuperarla en forma ágil y oportuna. Un ejemplo de lo que debe tener este formato es el siguiente: </w:t>
      </w:r>
      <w:r>
        <w:rPr>
          <w:sz w:val="23"/>
        </w:rPr>
        <w:t xml:space="preserve"> </w:t>
      </w:r>
    </w:p>
    <w:p w:rsidR="0076001D" w:rsidRDefault="0034129A">
      <w:pPr>
        <w:spacing w:after="21" w:line="259" w:lineRule="auto"/>
        <w:ind w:left="115" w:right="-549" w:firstLine="0"/>
        <w:jc w:val="left"/>
      </w:pPr>
      <w:r>
        <w:rPr>
          <w:noProof/>
          <w:lang w:val="es-ES" w:eastAsia="es-ES"/>
        </w:rPr>
        <w:drawing>
          <wp:inline distT="0" distB="0" distL="0" distR="0">
            <wp:extent cx="6422009" cy="1208405"/>
            <wp:effectExtent l="0" t="0" r="0" b="0"/>
            <wp:docPr id="9587" name="Picture 9587"/>
            <wp:cNvGraphicFramePr/>
            <a:graphic xmlns:a="http://schemas.openxmlformats.org/drawingml/2006/main">
              <a:graphicData uri="http://schemas.openxmlformats.org/drawingml/2006/picture">
                <pic:pic xmlns:pic="http://schemas.openxmlformats.org/drawingml/2006/picture">
                  <pic:nvPicPr>
                    <pic:cNvPr id="9587" name="Picture 9587"/>
                    <pic:cNvPicPr/>
                  </pic:nvPicPr>
                  <pic:blipFill>
                    <a:blip r:embed="rId120"/>
                    <a:stretch>
                      <a:fillRect/>
                    </a:stretch>
                  </pic:blipFill>
                  <pic:spPr>
                    <a:xfrm>
                      <a:off x="0" y="0"/>
                      <a:ext cx="6422009" cy="1208405"/>
                    </a:xfrm>
                    <a:prstGeom prst="rect">
                      <a:avLst/>
                    </a:prstGeom>
                  </pic:spPr>
                </pic:pic>
              </a:graphicData>
            </a:graphic>
          </wp:inline>
        </w:drawing>
      </w:r>
    </w:p>
    <w:p w:rsidR="0076001D" w:rsidRDefault="0034129A">
      <w:pPr>
        <w:spacing w:after="0" w:line="259" w:lineRule="auto"/>
        <w:ind w:left="0" w:right="8779" w:firstLine="0"/>
        <w:jc w:val="left"/>
      </w:pPr>
      <w:r>
        <w:rPr>
          <w:sz w:val="35"/>
        </w:rPr>
        <w:t xml:space="preserve"> </w:t>
      </w:r>
    </w:p>
    <w:p w:rsidR="0076001D" w:rsidRDefault="0034129A">
      <w:pPr>
        <w:spacing w:after="0" w:line="259" w:lineRule="auto"/>
        <w:ind w:left="542" w:firstLine="0"/>
        <w:jc w:val="left"/>
      </w:pPr>
      <w:r>
        <w:rPr>
          <w:noProof/>
          <w:lang w:val="es-ES" w:eastAsia="es-ES"/>
        </w:rPr>
        <w:drawing>
          <wp:inline distT="0" distB="0" distL="0" distR="0">
            <wp:extent cx="227546" cy="136525"/>
            <wp:effectExtent l="0" t="0" r="0" b="0"/>
            <wp:docPr id="9593" name="Picture 9593"/>
            <wp:cNvGraphicFramePr/>
            <a:graphic xmlns:a="http://schemas.openxmlformats.org/drawingml/2006/main">
              <a:graphicData uri="http://schemas.openxmlformats.org/drawingml/2006/picture">
                <pic:pic xmlns:pic="http://schemas.openxmlformats.org/drawingml/2006/picture">
                  <pic:nvPicPr>
                    <pic:cNvPr id="9593" name="Picture 9593"/>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spacing w:after="102"/>
        <w:ind w:left="545" w:firstLine="348"/>
      </w:pPr>
      <w:r>
        <w:t xml:space="preserve">La generación de las copias de seguridad depende en su gran mayoría a procesos manuales, ejecución de scripts y copia de información por parte de los funcionarios y contratista de OAP, lo cual implica una asignación y disponibilidad por parte de ellos para su ejecución, estos tiempos y disponibilidad podría disminuirse con el uso o adquisición de herramienta automatizadas, que a su vez garanticen la ejecución completa de estos procesos, sin depender de la disponibilidad del personal. Cabe anotar que esto  no implica que actualmente no se estén realizando correctamente estas labores. </w:t>
      </w:r>
    </w:p>
    <w:p w:rsidR="0076001D" w:rsidRDefault="0034129A">
      <w:pPr>
        <w:spacing w:after="0" w:line="259" w:lineRule="auto"/>
        <w:ind w:left="0" w:right="8778" w:firstLine="0"/>
        <w:jc w:val="left"/>
      </w:pPr>
      <w:r>
        <w:rPr>
          <w:sz w:val="34"/>
        </w:rPr>
        <w:t xml:space="preserve"> </w:t>
      </w:r>
    </w:p>
    <w:p w:rsidR="0076001D" w:rsidRDefault="0034129A">
      <w:pPr>
        <w:spacing w:after="0" w:line="259" w:lineRule="auto"/>
        <w:ind w:left="542" w:firstLine="0"/>
        <w:jc w:val="left"/>
      </w:pPr>
      <w:r>
        <w:rPr>
          <w:noProof/>
          <w:lang w:val="es-ES" w:eastAsia="es-ES"/>
        </w:rPr>
        <w:drawing>
          <wp:inline distT="0" distB="0" distL="0" distR="0">
            <wp:extent cx="228600" cy="137160"/>
            <wp:effectExtent l="0" t="0" r="0" b="0"/>
            <wp:docPr id="9595" name="Picture 9595"/>
            <wp:cNvGraphicFramePr/>
            <a:graphic xmlns:a="http://schemas.openxmlformats.org/drawingml/2006/main">
              <a:graphicData uri="http://schemas.openxmlformats.org/drawingml/2006/picture">
                <pic:pic xmlns:pic="http://schemas.openxmlformats.org/drawingml/2006/picture">
                  <pic:nvPicPr>
                    <pic:cNvPr id="9595" name="Picture 9595"/>
                    <pic:cNvPicPr/>
                  </pic:nvPicPr>
                  <pic:blipFill>
                    <a:blip r:embed="rId8"/>
                    <a:stretch>
                      <a:fillRect/>
                    </a:stretch>
                  </pic:blipFill>
                  <pic:spPr>
                    <a:xfrm>
                      <a:off x="0" y="0"/>
                      <a:ext cx="228600" cy="137160"/>
                    </a:xfrm>
                    <a:prstGeom prst="rect">
                      <a:avLst/>
                    </a:prstGeom>
                  </pic:spPr>
                </pic:pic>
              </a:graphicData>
            </a:graphic>
          </wp:inline>
        </w:drawing>
      </w:r>
    </w:p>
    <w:p w:rsidR="0076001D" w:rsidRDefault="0034129A">
      <w:pPr>
        <w:ind w:left="900" w:firstLine="347"/>
      </w:pPr>
      <w:r>
        <w:lastRenderedPageBreak/>
        <w:t xml:space="preserve">Si bien se cuenta con un almacenamiento externo para las copias de seguridad en la sede de la SDE, no existe un registro y codificación documentada de los medios que se trasladan a esta sede. Al tener espacio ilimitado en las unidades de nube con Google (Drive), y debido a que el almacenamiento en la nube implica una disponibilidad y acceso a la información permanente, debería utilizarse este recurso como complemento de la estrategia de actual, programando tareas nocturnas de sincronización de la carpeta de </w:t>
      </w:r>
      <w:proofErr w:type="spellStart"/>
      <w:r>
        <w:t>Backups</w:t>
      </w:r>
      <w:proofErr w:type="spellEnd"/>
      <w:r>
        <w:t xml:space="preserve"> del servidor de archivos y así tener otro medio de almacenamiento alterno y con disponibilidad permanente y sin restricciones geográficas. </w:t>
      </w:r>
    </w:p>
    <w:p w:rsidR="0076001D" w:rsidRDefault="0076001D">
      <w:pPr>
        <w:sectPr w:rsidR="0076001D">
          <w:headerReference w:type="even" r:id="rId121"/>
          <w:headerReference w:type="default" r:id="rId122"/>
          <w:footerReference w:type="even" r:id="rId123"/>
          <w:footerReference w:type="default" r:id="rId124"/>
          <w:headerReference w:type="first" r:id="rId125"/>
          <w:footerReference w:type="first" r:id="rId126"/>
          <w:pgSz w:w="12240" w:h="15840"/>
          <w:pgMar w:top="1947" w:right="1401" w:bottom="1565" w:left="1159" w:header="540" w:footer="392" w:gutter="0"/>
          <w:cols w:space="720"/>
        </w:sectPr>
      </w:pPr>
    </w:p>
    <w:p w:rsidR="0076001D" w:rsidRDefault="0034129A">
      <w:pPr>
        <w:spacing w:after="158" w:line="259" w:lineRule="auto"/>
        <w:ind w:left="0" w:firstLine="0"/>
        <w:jc w:val="left"/>
      </w:pPr>
      <w:r>
        <w:rPr>
          <w:sz w:val="14"/>
        </w:rPr>
        <w:lastRenderedPageBreak/>
        <w:t xml:space="preserve"> </w:t>
      </w:r>
    </w:p>
    <w:p w:rsidR="0076001D" w:rsidRDefault="0034129A">
      <w:pPr>
        <w:tabs>
          <w:tab w:val="center" w:pos="728"/>
          <w:tab w:val="center" w:pos="5201"/>
        </w:tabs>
        <w:spacing w:after="0" w:line="259" w:lineRule="auto"/>
        <w:ind w:left="0" w:firstLine="0"/>
        <w:jc w:val="left"/>
      </w:pPr>
      <w:r>
        <w:rPr>
          <w:rFonts w:ascii="Calibri" w:eastAsia="Calibri" w:hAnsi="Calibri" w:cs="Calibri"/>
        </w:rPr>
        <w:tab/>
      </w:r>
      <w:r>
        <w:rPr>
          <w:b/>
        </w:rPr>
        <w:t xml:space="preserve">5.1.3.4 </w:t>
      </w:r>
      <w:r>
        <w:rPr>
          <w:b/>
        </w:rPr>
        <w:tab/>
        <w:t xml:space="preserve">Seguimiento a Recomendaciones 2019 </w:t>
      </w:r>
    </w:p>
    <w:p w:rsidR="0076001D" w:rsidRDefault="0034129A">
      <w:pPr>
        <w:spacing w:after="69" w:line="259" w:lineRule="auto"/>
        <w:ind w:left="0" w:firstLine="0"/>
        <w:jc w:val="left"/>
      </w:pPr>
      <w:r>
        <w:rPr>
          <w:noProof/>
          <w:lang w:val="es-ES" w:eastAsia="es-ES"/>
        </w:rPr>
        <w:drawing>
          <wp:anchor distT="0" distB="0" distL="114300" distR="114300" simplePos="0" relativeHeight="251669504" behindDoc="0" locked="0" layoutInCell="1" allowOverlap="0">
            <wp:simplePos x="0" y="0"/>
            <wp:positionH relativeFrom="page">
              <wp:posOffset>4744720</wp:posOffset>
            </wp:positionH>
            <wp:positionV relativeFrom="page">
              <wp:posOffset>9120505</wp:posOffset>
            </wp:positionV>
            <wp:extent cx="1998345" cy="647065"/>
            <wp:effectExtent l="0" t="0" r="0" b="0"/>
            <wp:wrapTopAndBottom/>
            <wp:docPr id="9605" name="Picture 9605"/>
            <wp:cNvGraphicFramePr/>
            <a:graphic xmlns:a="http://schemas.openxmlformats.org/drawingml/2006/main">
              <a:graphicData uri="http://schemas.openxmlformats.org/drawingml/2006/picture">
                <pic:pic xmlns:pic="http://schemas.openxmlformats.org/drawingml/2006/picture">
                  <pic:nvPicPr>
                    <pic:cNvPr id="9605" name="Picture 9605"/>
                    <pic:cNvPicPr/>
                  </pic:nvPicPr>
                  <pic:blipFill>
                    <a:blip r:embed="rId83"/>
                    <a:stretch>
                      <a:fillRect/>
                    </a:stretch>
                  </pic:blipFill>
                  <pic:spPr>
                    <a:xfrm>
                      <a:off x="0" y="0"/>
                      <a:ext cx="1998345" cy="647065"/>
                    </a:xfrm>
                    <a:prstGeom prst="rect">
                      <a:avLst/>
                    </a:prstGeom>
                  </pic:spPr>
                </pic:pic>
              </a:graphicData>
            </a:graphic>
          </wp:anchor>
        </w:drawing>
      </w:r>
      <w:r>
        <w:rPr>
          <w:b/>
          <w:sz w:val="20"/>
        </w:rPr>
        <w:t xml:space="preserve"> </w:t>
      </w:r>
    </w:p>
    <w:p w:rsidR="0076001D" w:rsidRDefault="0034129A">
      <w:pPr>
        <w:spacing w:after="0" w:line="259" w:lineRule="auto"/>
        <w:ind w:left="0" w:firstLine="0"/>
        <w:jc w:val="left"/>
      </w:pPr>
      <w:r>
        <w:rPr>
          <w:b/>
          <w:sz w:val="29"/>
        </w:rPr>
        <w:t xml:space="preserve"> </w:t>
      </w:r>
    </w:p>
    <w:tbl>
      <w:tblPr>
        <w:tblStyle w:val="TableGrid"/>
        <w:tblW w:w="9622" w:type="dxa"/>
        <w:tblInd w:w="164" w:type="dxa"/>
        <w:tblCellMar>
          <w:top w:w="6" w:type="dxa"/>
          <w:left w:w="5" w:type="dxa"/>
          <w:right w:w="45" w:type="dxa"/>
        </w:tblCellMar>
        <w:tblLook w:val="04A0" w:firstRow="1" w:lastRow="0" w:firstColumn="1" w:lastColumn="0" w:noHBand="0" w:noVBand="1"/>
      </w:tblPr>
      <w:tblGrid>
        <w:gridCol w:w="533"/>
        <w:gridCol w:w="4254"/>
        <w:gridCol w:w="570"/>
        <w:gridCol w:w="4265"/>
      </w:tblGrid>
      <w:tr w:rsidR="0076001D">
        <w:trPr>
          <w:trHeight w:val="257"/>
        </w:trPr>
        <w:tc>
          <w:tcPr>
            <w:tcW w:w="53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2" w:firstLine="0"/>
              <w:jc w:val="left"/>
            </w:pPr>
            <w:r>
              <w:rPr>
                <w:b/>
                <w:sz w:val="20"/>
              </w:rPr>
              <w:t xml:space="preserve">N°.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2" w:firstLine="0"/>
              <w:jc w:val="center"/>
            </w:pPr>
            <w:r>
              <w:rPr>
                <w:b/>
                <w:sz w:val="20"/>
              </w:rPr>
              <w:t xml:space="preserve">OBSERVACIÓN </w:t>
            </w:r>
          </w:p>
        </w:tc>
        <w:tc>
          <w:tcPr>
            <w:tcW w:w="57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26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0" w:firstLine="0"/>
              <w:jc w:val="center"/>
            </w:pPr>
            <w:r>
              <w:rPr>
                <w:b/>
                <w:sz w:val="20"/>
              </w:rPr>
              <w:t xml:space="preserve">SEGUIMIENTO </w:t>
            </w:r>
          </w:p>
        </w:tc>
      </w:tr>
      <w:tr w:rsidR="0076001D">
        <w:trPr>
          <w:trHeight w:val="2541"/>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95" w:line="259" w:lineRule="auto"/>
              <w:ind w:left="0" w:firstLine="0"/>
              <w:jc w:val="left"/>
            </w:pPr>
            <w:r>
              <w:rPr>
                <w:b/>
              </w:rPr>
              <w:t xml:space="preserve"> </w:t>
            </w:r>
          </w:p>
          <w:p w:rsidR="0076001D" w:rsidRDefault="0034129A">
            <w:pPr>
              <w:spacing w:after="0" w:line="259" w:lineRule="auto"/>
              <w:ind w:left="106" w:firstLine="0"/>
              <w:jc w:val="left"/>
            </w:pPr>
            <w:r>
              <w:rPr>
                <w:sz w:val="20"/>
              </w:rPr>
              <w:t xml:space="preserve">1.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1" w:lineRule="auto"/>
              <w:ind w:left="109" w:right="59" w:firstLine="0"/>
            </w:pPr>
            <w:r>
              <w:rPr>
                <w:sz w:val="20"/>
              </w:rPr>
              <w:t xml:space="preserve">Se establezcan actividades de prueba y verificación sobre los controles establecidos en la matriz de riesgos y las acciones del Plan de mejoramiento como requisito para dar por cerrada una acción o una actividad de control. </w:t>
            </w:r>
          </w:p>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09" w:right="56" w:firstLine="0"/>
            </w:pPr>
            <w:r>
              <w:rPr>
                <w:sz w:val="20"/>
              </w:rPr>
              <w:t xml:space="preserve">Priorizar las acciones de acuerdo con el impacto para la entidad de su no ejecución, aplicar el mismo criterio para las decisiones de eliminación de acciones.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0"/>
              </w:rPr>
              <w:t xml:space="preserve"> </w:t>
            </w:r>
          </w:p>
          <w:p w:rsidR="0076001D" w:rsidRDefault="0034129A">
            <w:pPr>
              <w:spacing w:after="0" w:line="259" w:lineRule="auto"/>
              <w:ind w:left="0" w:firstLine="0"/>
              <w:jc w:val="left"/>
            </w:pPr>
            <w:r>
              <w:rPr>
                <w:b/>
                <w:sz w:val="20"/>
              </w:rPr>
              <w:t xml:space="preserve"> </w:t>
            </w:r>
          </w:p>
          <w:p w:rsidR="0076001D" w:rsidRDefault="0034129A">
            <w:pPr>
              <w:spacing w:after="0" w:line="259" w:lineRule="auto"/>
              <w:ind w:left="0" w:firstLine="0"/>
              <w:jc w:val="left"/>
            </w:pPr>
            <w:r>
              <w:rPr>
                <w:b/>
                <w:sz w:val="20"/>
              </w:rPr>
              <w:t xml:space="preserve"> </w:t>
            </w:r>
          </w:p>
          <w:p w:rsidR="0076001D" w:rsidRDefault="0034129A">
            <w:pPr>
              <w:spacing w:after="0" w:line="259" w:lineRule="auto"/>
              <w:ind w:left="97" w:firstLine="0"/>
              <w:jc w:val="left"/>
            </w:pPr>
            <w:r>
              <w:rPr>
                <w:noProof/>
                <w:lang w:val="es-ES" w:eastAsia="es-ES"/>
              </w:rPr>
              <w:drawing>
                <wp:inline distT="0" distB="0" distL="0" distR="0">
                  <wp:extent cx="202565" cy="223291"/>
                  <wp:effectExtent l="0" t="0" r="0" b="0"/>
                  <wp:docPr id="9885" name="Picture 9885"/>
                  <wp:cNvGraphicFramePr/>
                  <a:graphic xmlns:a="http://schemas.openxmlformats.org/drawingml/2006/main">
                    <a:graphicData uri="http://schemas.openxmlformats.org/drawingml/2006/picture">
                      <pic:pic xmlns:pic="http://schemas.openxmlformats.org/drawingml/2006/picture">
                        <pic:nvPicPr>
                          <pic:cNvPr id="9885" name="Picture 9885"/>
                          <pic:cNvPicPr/>
                        </pic:nvPicPr>
                        <pic:blipFill>
                          <a:blip r:embed="rId74"/>
                          <a:stretch>
                            <a:fillRect/>
                          </a:stretch>
                        </pic:blipFill>
                        <pic:spPr>
                          <a:xfrm>
                            <a:off x="0" y="0"/>
                            <a:ext cx="202565" cy="223291"/>
                          </a:xfrm>
                          <a:prstGeom prst="rect">
                            <a:avLst/>
                          </a:prstGeom>
                        </pic:spPr>
                      </pic:pic>
                    </a:graphicData>
                  </a:graphic>
                </wp:inline>
              </w:drawing>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b/>
                <w:sz w:val="19"/>
              </w:rPr>
              <w:t xml:space="preserve"> </w:t>
            </w:r>
          </w:p>
          <w:p w:rsidR="0076001D" w:rsidRDefault="0034129A">
            <w:pPr>
              <w:spacing w:after="0" w:line="241" w:lineRule="auto"/>
              <w:ind w:left="104" w:right="58" w:firstLine="0"/>
            </w:pPr>
            <w:r>
              <w:rPr>
                <w:sz w:val="20"/>
              </w:rPr>
              <w:t xml:space="preserve">Si bien se registran las acciones en el caso de los riesgos materializados, no se presentó evidencia de trazabilidad con pruebas técnicas. </w:t>
            </w:r>
          </w:p>
          <w:p w:rsidR="0076001D" w:rsidRDefault="0034129A">
            <w:pPr>
              <w:spacing w:after="0" w:line="259" w:lineRule="auto"/>
              <w:ind w:left="104" w:firstLine="0"/>
              <w:jc w:val="left"/>
            </w:pPr>
            <w:r>
              <w:rPr>
                <w:sz w:val="20"/>
              </w:rPr>
              <w:t xml:space="preserve">No ha avanzado </w:t>
            </w:r>
          </w:p>
        </w:tc>
      </w:tr>
      <w:tr w:rsidR="0076001D">
        <w:trPr>
          <w:trHeight w:val="4150"/>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141" w:line="259" w:lineRule="auto"/>
              <w:ind w:left="0" w:firstLine="0"/>
              <w:jc w:val="left"/>
            </w:pPr>
            <w:r>
              <w:rPr>
                <w:b/>
              </w:rPr>
              <w:t xml:space="preserve"> </w:t>
            </w:r>
          </w:p>
          <w:p w:rsidR="0076001D" w:rsidRDefault="0034129A">
            <w:pPr>
              <w:spacing w:after="0" w:line="259" w:lineRule="auto"/>
              <w:ind w:left="106" w:firstLine="0"/>
              <w:jc w:val="left"/>
            </w:pPr>
            <w:r>
              <w:rPr>
                <w:sz w:val="20"/>
              </w:rPr>
              <w:t xml:space="preserve">2.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9" w:right="60" w:firstLine="0"/>
            </w:pPr>
            <w:r>
              <w:rPr>
                <w:sz w:val="20"/>
              </w:rPr>
              <w:t xml:space="preserve">En el marco de la implementación del MSPI actualizar la identificación de la matriz de riesgos de acuerdo con los activos de información y depurar las acciones y controles reportados de acuerdo con las configuraciones de dichos controles en la plataforma TIC. Seguir los lineamientos de la Guía 7. </w:t>
            </w:r>
          </w:p>
          <w:p w:rsidR="0076001D" w:rsidRDefault="0034129A">
            <w:pPr>
              <w:spacing w:after="0" w:line="259" w:lineRule="auto"/>
              <w:ind w:left="1" w:firstLine="0"/>
              <w:jc w:val="left"/>
            </w:pPr>
            <w:r>
              <w:rPr>
                <w:b/>
                <w:sz w:val="19"/>
              </w:rPr>
              <w:t xml:space="preserve"> </w:t>
            </w:r>
          </w:p>
          <w:p w:rsidR="0076001D" w:rsidRDefault="0034129A">
            <w:pPr>
              <w:spacing w:after="1" w:line="241" w:lineRule="auto"/>
              <w:ind w:left="109" w:right="62" w:firstLine="0"/>
            </w:pPr>
            <w:r>
              <w:rPr>
                <w:sz w:val="20"/>
              </w:rPr>
              <w:t xml:space="preserve">Actualizar el Plan de Continuidad para que coincida en lo relacionado con el plan de tratamiento de riesgos, el formato de matriz de riesgos y la tipología de los riesgos. </w:t>
            </w:r>
          </w:p>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09" w:right="60" w:firstLine="0"/>
            </w:pPr>
            <w:r>
              <w:rPr>
                <w:sz w:val="20"/>
              </w:rPr>
              <w:t xml:space="preserve">Cabe anotar que el Plan de Continuidad está directamente relacionado con los riesgos que la entidad ha decidido tratar mediante aceptación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77" w:line="259" w:lineRule="auto"/>
              <w:ind w:left="0" w:firstLine="0"/>
              <w:jc w:val="left"/>
            </w:pPr>
            <w:r>
              <w:rPr>
                <w:b/>
                <w:sz w:val="10"/>
              </w:rPr>
              <w:t xml:space="preserve"> </w:t>
            </w:r>
          </w:p>
          <w:p w:rsidR="0076001D" w:rsidRDefault="0034129A">
            <w:pPr>
              <w:spacing w:after="0" w:line="259" w:lineRule="auto"/>
              <w:ind w:left="84" w:firstLine="0"/>
              <w:jc w:val="left"/>
            </w:pPr>
            <w:r>
              <w:rPr>
                <w:noProof/>
                <w:lang w:val="es-ES" w:eastAsia="es-ES"/>
              </w:rPr>
              <w:drawing>
                <wp:inline distT="0" distB="0" distL="0" distR="0">
                  <wp:extent cx="213970" cy="218440"/>
                  <wp:effectExtent l="0" t="0" r="0" b="0"/>
                  <wp:docPr id="9887" name="Picture 9887"/>
                  <wp:cNvGraphicFramePr/>
                  <a:graphic xmlns:a="http://schemas.openxmlformats.org/drawingml/2006/main">
                    <a:graphicData uri="http://schemas.openxmlformats.org/drawingml/2006/picture">
                      <pic:pic xmlns:pic="http://schemas.openxmlformats.org/drawingml/2006/picture">
                        <pic:nvPicPr>
                          <pic:cNvPr id="9887" name="Picture 9887"/>
                          <pic:cNvPicPr/>
                        </pic:nvPicPr>
                        <pic:blipFill>
                          <a:blip r:embed="rId101"/>
                          <a:stretch>
                            <a:fillRect/>
                          </a:stretch>
                        </pic:blipFill>
                        <pic:spPr>
                          <a:xfrm>
                            <a:off x="0" y="0"/>
                            <a:ext cx="213970" cy="218440"/>
                          </a:xfrm>
                          <a:prstGeom prst="rect">
                            <a:avLst/>
                          </a:prstGeom>
                        </pic:spPr>
                      </pic:pic>
                    </a:graphicData>
                  </a:graphic>
                </wp:inline>
              </w:drawing>
            </w:r>
            <w:r>
              <w:rPr>
                <w:sz w:val="20"/>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b/>
                <w:sz w:val="19"/>
              </w:rPr>
              <w:t xml:space="preserve"> </w:t>
            </w:r>
          </w:p>
          <w:p w:rsidR="0076001D" w:rsidRDefault="0034129A">
            <w:pPr>
              <w:spacing w:after="0" w:line="241" w:lineRule="auto"/>
              <w:ind w:left="104" w:firstLine="0"/>
              <w:jc w:val="left"/>
            </w:pPr>
            <w:r>
              <w:rPr>
                <w:sz w:val="20"/>
              </w:rPr>
              <w:t xml:space="preserve">La recomendación puntual no ha sido atendida. </w:t>
            </w:r>
          </w:p>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04" w:firstLine="0"/>
              <w:jc w:val="left"/>
            </w:pPr>
            <w:r>
              <w:rPr>
                <w:sz w:val="20"/>
              </w:rPr>
              <w:t xml:space="preserve">Cabe anotar que el Plan de Continuidad ha tenido mejoras, relacionadas en este capítulo </w:t>
            </w:r>
          </w:p>
        </w:tc>
      </w:tr>
      <w:tr w:rsidR="0076001D">
        <w:trPr>
          <w:trHeight w:val="2309"/>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48" w:lineRule="auto"/>
              <w:ind w:left="0" w:right="418" w:firstLine="0"/>
              <w:jc w:val="left"/>
            </w:pPr>
            <w:r>
              <w:rPr>
                <w:b/>
              </w:rPr>
              <w:t xml:space="preserve"> </w:t>
            </w:r>
            <w:r>
              <w:rPr>
                <w:b/>
                <w:sz w:val="23"/>
              </w:rPr>
              <w:t xml:space="preserve"> </w:t>
            </w:r>
          </w:p>
          <w:p w:rsidR="0076001D" w:rsidRDefault="0034129A">
            <w:pPr>
              <w:spacing w:after="0" w:line="259" w:lineRule="auto"/>
              <w:ind w:left="106" w:firstLine="0"/>
              <w:jc w:val="left"/>
            </w:pPr>
            <w:r>
              <w:rPr>
                <w:sz w:val="20"/>
              </w:rPr>
              <w:t xml:space="preserve">3.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b/>
              </w:rPr>
              <w:t xml:space="preserve"> </w:t>
            </w:r>
          </w:p>
          <w:p w:rsidR="0076001D" w:rsidRDefault="0034129A">
            <w:pPr>
              <w:spacing w:after="12" w:line="259" w:lineRule="auto"/>
              <w:ind w:left="1" w:firstLine="0"/>
              <w:jc w:val="left"/>
            </w:pPr>
            <w:r>
              <w:rPr>
                <w:b/>
                <w:sz w:val="17"/>
              </w:rPr>
              <w:t xml:space="preserve"> </w:t>
            </w:r>
          </w:p>
          <w:p w:rsidR="0076001D" w:rsidRDefault="0034129A">
            <w:pPr>
              <w:spacing w:after="0" w:line="259" w:lineRule="auto"/>
              <w:ind w:left="109" w:right="61" w:firstLine="0"/>
            </w:pPr>
            <w:r>
              <w:rPr>
                <w:sz w:val="20"/>
              </w:rPr>
              <w:t xml:space="preserve">De ser posible fortalecer el conocimiento en seguridad de la información del funcionario de la OAP o mejorar el perfil en esta materia para los contratistas.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0"/>
              </w:rPr>
              <w:t xml:space="preserve"> </w:t>
            </w:r>
          </w:p>
          <w:p w:rsidR="0076001D" w:rsidRDefault="0034129A">
            <w:pPr>
              <w:spacing w:after="0" w:line="259" w:lineRule="auto"/>
              <w:ind w:left="70" w:firstLine="0"/>
              <w:jc w:val="left"/>
            </w:pPr>
            <w:r>
              <w:rPr>
                <w:noProof/>
                <w:lang w:val="es-ES" w:eastAsia="es-ES"/>
              </w:rPr>
              <w:drawing>
                <wp:inline distT="0" distB="0" distL="0" distR="0">
                  <wp:extent cx="202565" cy="223291"/>
                  <wp:effectExtent l="0" t="0" r="0" b="0"/>
                  <wp:docPr id="9889" name="Picture 9889"/>
                  <wp:cNvGraphicFramePr/>
                  <a:graphic xmlns:a="http://schemas.openxmlformats.org/drawingml/2006/main">
                    <a:graphicData uri="http://schemas.openxmlformats.org/drawingml/2006/picture">
                      <pic:pic xmlns:pic="http://schemas.openxmlformats.org/drawingml/2006/picture">
                        <pic:nvPicPr>
                          <pic:cNvPr id="9889" name="Picture 9889"/>
                          <pic:cNvPicPr/>
                        </pic:nvPicPr>
                        <pic:blipFill>
                          <a:blip r:embed="rId127"/>
                          <a:stretch>
                            <a:fillRect/>
                          </a:stretch>
                        </pic:blipFill>
                        <pic:spPr>
                          <a:xfrm>
                            <a:off x="0" y="0"/>
                            <a:ext cx="202565" cy="223291"/>
                          </a:xfrm>
                          <a:prstGeom prst="rect">
                            <a:avLst/>
                          </a:prstGeom>
                        </pic:spPr>
                      </pic:pic>
                    </a:graphicData>
                  </a:graphic>
                </wp:inline>
              </w:drawing>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b/>
                <w:sz w:val="19"/>
              </w:rPr>
              <w:t xml:space="preserve"> </w:t>
            </w:r>
          </w:p>
          <w:p w:rsidR="0076001D" w:rsidRDefault="0034129A">
            <w:pPr>
              <w:spacing w:after="0" w:line="259" w:lineRule="auto"/>
              <w:ind w:left="104" w:right="61" w:firstLine="0"/>
            </w:pPr>
            <w:r>
              <w:rPr>
                <w:sz w:val="20"/>
              </w:rPr>
              <w:t xml:space="preserve">En el plan de mejoramiento 2019, se registran evidencias de capacitaciones recibidas por parte de los proveedores, sin embargo, en las entrevistas realizadas, se observa que el conocimiento no es aún del 100% y debe continuarse su fortalecimiento, aún más teniendo en cuenta que le ha sido asignado rol de oficial de Seguridad. </w:t>
            </w:r>
          </w:p>
        </w:tc>
      </w:tr>
      <w:tr w:rsidR="0076001D">
        <w:trPr>
          <w:trHeight w:val="2119"/>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lastRenderedPageBreak/>
              <w:t xml:space="preserve"> </w:t>
            </w:r>
          </w:p>
          <w:p w:rsidR="0076001D" w:rsidRDefault="0034129A">
            <w:pPr>
              <w:spacing w:after="0" w:line="259" w:lineRule="auto"/>
              <w:ind w:left="0" w:firstLine="0"/>
              <w:jc w:val="left"/>
            </w:pPr>
            <w:r>
              <w:rPr>
                <w:b/>
              </w:rPr>
              <w:t xml:space="preserve"> </w:t>
            </w:r>
          </w:p>
          <w:p w:rsidR="0076001D" w:rsidRDefault="0034129A">
            <w:pPr>
              <w:spacing w:after="141" w:line="259" w:lineRule="auto"/>
              <w:ind w:left="0" w:firstLine="0"/>
              <w:jc w:val="left"/>
            </w:pPr>
            <w:r>
              <w:rPr>
                <w:b/>
              </w:rPr>
              <w:t xml:space="preserve"> </w:t>
            </w:r>
          </w:p>
          <w:p w:rsidR="0076001D" w:rsidRDefault="0034129A">
            <w:pPr>
              <w:spacing w:after="0" w:line="259" w:lineRule="auto"/>
              <w:ind w:left="106" w:firstLine="0"/>
              <w:jc w:val="left"/>
            </w:pPr>
            <w:r>
              <w:rPr>
                <w:sz w:val="20"/>
              </w:rPr>
              <w:t xml:space="preserve">4.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18" w:line="241" w:lineRule="auto"/>
              <w:ind w:left="109" w:firstLine="0"/>
              <w:jc w:val="left"/>
            </w:pPr>
            <w:r>
              <w:rPr>
                <w:sz w:val="20"/>
              </w:rPr>
              <w:t xml:space="preserve">Ajustar el Plan de contingencias para que incluya como mínimo: </w:t>
            </w:r>
          </w:p>
          <w:p w:rsidR="0076001D" w:rsidRDefault="0034129A">
            <w:pPr>
              <w:numPr>
                <w:ilvl w:val="0"/>
                <w:numId w:val="40"/>
              </w:numPr>
              <w:spacing w:after="0" w:line="259" w:lineRule="auto"/>
              <w:ind w:hanging="295"/>
              <w:jc w:val="center"/>
            </w:pPr>
            <w:r>
              <w:rPr>
                <w:sz w:val="20"/>
              </w:rPr>
              <w:t xml:space="preserve">Todos los activos de información </w:t>
            </w:r>
          </w:p>
          <w:p w:rsidR="0076001D" w:rsidRDefault="0034129A">
            <w:pPr>
              <w:spacing w:after="0" w:line="259" w:lineRule="auto"/>
              <w:ind w:left="882" w:firstLine="0"/>
              <w:jc w:val="left"/>
            </w:pPr>
            <w:r>
              <w:rPr>
                <w:sz w:val="20"/>
              </w:rPr>
              <w:t xml:space="preserve">críticos </w:t>
            </w:r>
          </w:p>
          <w:p w:rsidR="0076001D" w:rsidRDefault="0034129A">
            <w:pPr>
              <w:numPr>
                <w:ilvl w:val="0"/>
                <w:numId w:val="40"/>
              </w:numPr>
              <w:spacing w:after="18" w:line="238" w:lineRule="auto"/>
              <w:ind w:hanging="295"/>
              <w:jc w:val="center"/>
            </w:pPr>
            <w:r>
              <w:rPr>
                <w:sz w:val="20"/>
              </w:rPr>
              <w:t xml:space="preserve">Los acuerdos ANS alcanzados con los responsables de procesos </w:t>
            </w:r>
          </w:p>
          <w:p w:rsidR="0076001D" w:rsidRDefault="0034129A">
            <w:pPr>
              <w:numPr>
                <w:ilvl w:val="0"/>
                <w:numId w:val="40"/>
              </w:numPr>
              <w:spacing w:after="0" w:line="259" w:lineRule="auto"/>
              <w:ind w:hanging="295"/>
              <w:jc w:val="center"/>
            </w:pPr>
            <w:r>
              <w:rPr>
                <w:sz w:val="20"/>
              </w:rPr>
              <w:t xml:space="preserve">Incluir respaldo de elementos de configuración de la plataforma TIC que permitan ya sea contar con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4" w:firstLine="0"/>
              <w:jc w:val="left"/>
            </w:pPr>
            <w:r>
              <w:rPr>
                <w:noProof/>
                <w:lang w:val="es-ES" w:eastAsia="es-ES"/>
              </w:rPr>
              <w:drawing>
                <wp:inline distT="0" distB="0" distL="0" distR="0">
                  <wp:extent cx="202768" cy="223520"/>
                  <wp:effectExtent l="0" t="0" r="0" b="0"/>
                  <wp:docPr id="9891" name="Picture 9891"/>
                  <wp:cNvGraphicFramePr/>
                  <a:graphic xmlns:a="http://schemas.openxmlformats.org/drawingml/2006/main">
                    <a:graphicData uri="http://schemas.openxmlformats.org/drawingml/2006/picture">
                      <pic:pic xmlns:pic="http://schemas.openxmlformats.org/drawingml/2006/picture">
                        <pic:nvPicPr>
                          <pic:cNvPr id="9891" name="Picture 9891"/>
                          <pic:cNvPicPr/>
                        </pic:nvPicPr>
                        <pic:blipFill>
                          <a:blip r:embed="rId104"/>
                          <a:stretch>
                            <a:fillRect/>
                          </a:stretch>
                        </pic:blipFill>
                        <pic:spPr>
                          <a:xfrm>
                            <a:off x="0" y="0"/>
                            <a:ext cx="202768" cy="223520"/>
                          </a:xfrm>
                          <a:prstGeom prst="rect">
                            <a:avLst/>
                          </a:prstGeom>
                        </pic:spPr>
                      </pic:pic>
                    </a:graphicData>
                  </a:graphic>
                </wp:inline>
              </w:drawing>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b/>
                <w:sz w:val="19"/>
              </w:rPr>
              <w:t xml:space="preserve"> </w:t>
            </w:r>
          </w:p>
          <w:p w:rsidR="0076001D" w:rsidRDefault="0034129A">
            <w:pPr>
              <w:spacing w:after="0" w:line="241" w:lineRule="auto"/>
              <w:ind w:left="104" w:firstLine="0"/>
              <w:jc w:val="left"/>
            </w:pPr>
            <w:r>
              <w:rPr>
                <w:sz w:val="20"/>
              </w:rPr>
              <w:t xml:space="preserve">Se observan mejoras en la cobertura de servicios tecnológicos en la versión 2020. </w:t>
            </w:r>
          </w:p>
          <w:p w:rsidR="0076001D" w:rsidRDefault="0034129A">
            <w:pPr>
              <w:spacing w:after="0" w:line="259" w:lineRule="auto"/>
              <w:ind w:left="1" w:firstLine="0"/>
              <w:jc w:val="left"/>
            </w:pPr>
            <w:r>
              <w:rPr>
                <w:b/>
                <w:sz w:val="19"/>
              </w:rPr>
              <w:t xml:space="preserve"> </w:t>
            </w:r>
          </w:p>
          <w:p w:rsidR="0076001D" w:rsidRDefault="0034129A">
            <w:pPr>
              <w:spacing w:after="0" w:line="259" w:lineRule="auto"/>
              <w:ind w:left="104" w:firstLine="0"/>
              <w:jc w:val="left"/>
            </w:pPr>
            <w:r>
              <w:rPr>
                <w:sz w:val="20"/>
              </w:rPr>
              <w:t xml:space="preserve">Están pendientes los otros elementos de la recomendación. </w:t>
            </w:r>
          </w:p>
        </w:tc>
      </w:tr>
    </w:tbl>
    <w:p w:rsidR="0076001D" w:rsidRDefault="0034129A">
      <w:pPr>
        <w:spacing w:after="0" w:line="259" w:lineRule="auto"/>
        <w:ind w:left="0" w:firstLine="0"/>
      </w:pPr>
      <w:r>
        <w:rPr>
          <w:noProof/>
          <w:lang w:val="es-ES" w:eastAsia="es-ES"/>
        </w:rPr>
        <w:drawing>
          <wp:anchor distT="0" distB="0" distL="114300" distR="114300" simplePos="0" relativeHeight="251670528" behindDoc="0" locked="0" layoutInCell="1" allowOverlap="0">
            <wp:simplePos x="0" y="0"/>
            <wp:positionH relativeFrom="page">
              <wp:posOffset>4744720</wp:posOffset>
            </wp:positionH>
            <wp:positionV relativeFrom="page">
              <wp:posOffset>9120505</wp:posOffset>
            </wp:positionV>
            <wp:extent cx="1998345" cy="647065"/>
            <wp:effectExtent l="0" t="0" r="0" b="0"/>
            <wp:wrapTopAndBottom/>
            <wp:docPr id="9899" name="Picture 9899"/>
            <wp:cNvGraphicFramePr/>
            <a:graphic xmlns:a="http://schemas.openxmlformats.org/drawingml/2006/main">
              <a:graphicData uri="http://schemas.openxmlformats.org/drawingml/2006/picture">
                <pic:pic xmlns:pic="http://schemas.openxmlformats.org/drawingml/2006/picture">
                  <pic:nvPicPr>
                    <pic:cNvPr id="9899" name="Picture 9899"/>
                    <pic:cNvPicPr/>
                  </pic:nvPicPr>
                  <pic:blipFill>
                    <a:blip r:embed="rId83"/>
                    <a:stretch>
                      <a:fillRect/>
                    </a:stretch>
                  </pic:blipFill>
                  <pic:spPr>
                    <a:xfrm>
                      <a:off x="0" y="0"/>
                      <a:ext cx="1998345" cy="647065"/>
                    </a:xfrm>
                    <a:prstGeom prst="rect">
                      <a:avLst/>
                    </a:prstGeom>
                  </pic:spPr>
                </pic:pic>
              </a:graphicData>
            </a:graphic>
          </wp:anchor>
        </w:drawing>
      </w:r>
      <w:r>
        <w:rPr>
          <w:rFonts w:ascii="Times New Roman" w:eastAsia="Times New Roman" w:hAnsi="Times New Roman" w:cs="Times New Roman"/>
        </w:rPr>
        <w:t xml:space="preserve"> </w:t>
      </w:r>
    </w:p>
    <w:tbl>
      <w:tblPr>
        <w:tblStyle w:val="TableGrid"/>
        <w:tblW w:w="9622" w:type="dxa"/>
        <w:tblInd w:w="164" w:type="dxa"/>
        <w:tblCellMar>
          <w:top w:w="6" w:type="dxa"/>
          <w:left w:w="5" w:type="dxa"/>
          <w:right w:w="37" w:type="dxa"/>
        </w:tblCellMar>
        <w:tblLook w:val="04A0" w:firstRow="1" w:lastRow="0" w:firstColumn="1" w:lastColumn="0" w:noHBand="0" w:noVBand="1"/>
      </w:tblPr>
      <w:tblGrid>
        <w:gridCol w:w="533"/>
        <w:gridCol w:w="4254"/>
        <w:gridCol w:w="570"/>
        <w:gridCol w:w="4265"/>
      </w:tblGrid>
      <w:tr w:rsidR="0076001D">
        <w:trPr>
          <w:trHeight w:val="257"/>
        </w:trPr>
        <w:tc>
          <w:tcPr>
            <w:tcW w:w="53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2" w:firstLine="0"/>
              <w:jc w:val="left"/>
            </w:pPr>
            <w:r>
              <w:rPr>
                <w:b/>
                <w:sz w:val="20"/>
              </w:rPr>
              <w:t xml:space="preserve">N°.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35" w:firstLine="0"/>
              <w:jc w:val="center"/>
            </w:pPr>
            <w:r>
              <w:rPr>
                <w:b/>
                <w:sz w:val="20"/>
              </w:rPr>
              <w:t xml:space="preserve">OBSERVACIÓN </w:t>
            </w:r>
          </w:p>
        </w:tc>
        <w:tc>
          <w:tcPr>
            <w:tcW w:w="57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26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33" w:firstLine="0"/>
              <w:jc w:val="center"/>
            </w:pPr>
            <w:r>
              <w:rPr>
                <w:b/>
                <w:sz w:val="20"/>
              </w:rPr>
              <w:t xml:space="preserve">SEGUIMIENTO </w:t>
            </w:r>
          </w:p>
        </w:tc>
      </w:tr>
      <w:tr w:rsidR="0076001D">
        <w:trPr>
          <w:trHeight w:val="2339"/>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15" w:line="241" w:lineRule="auto"/>
              <w:ind w:left="882" w:right="68" w:firstLine="0"/>
            </w:pPr>
            <w:proofErr w:type="gramStart"/>
            <w:r>
              <w:rPr>
                <w:sz w:val="20"/>
              </w:rPr>
              <w:t>ambientes</w:t>
            </w:r>
            <w:proofErr w:type="gramEnd"/>
            <w:r>
              <w:rPr>
                <w:sz w:val="20"/>
              </w:rPr>
              <w:t xml:space="preserve"> replica o agilizar los tiempos de puesta en operación de la contingencia. </w:t>
            </w:r>
          </w:p>
          <w:p w:rsidR="0076001D" w:rsidRDefault="0034129A">
            <w:pPr>
              <w:numPr>
                <w:ilvl w:val="0"/>
                <w:numId w:val="41"/>
              </w:numPr>
              <w:spacing w:after="20" w:line="239" w:lineRule="auto"/>
              <w:ind w:right="64" w:hanging="295"/>
            </w:pPr>
            <w:r>
              <w:rPr>
                <w:sz w:val="20"/>
              </w:rPr>
              <w:t xml:space="preserve">Ajustar las actividades y planes de contingencia específicos conforme a los acuerdos alcanzados con el negocio </w:t>
            </w:r>
          </w:p>
          <w:p w:rsidR="0076001D" w:rsidRDefault="0034129A">
            <w:pPr>
              <w:numPr>
                <w:ilvl w:val="0"/>
                <w:numId w:val="41"/>
              </w:numPr>
              <w:spacing w:after="0" w:line="259" w:lineRule="auto"/>
              <w:ind w:right="64" w:hanging="295"/>
            </w:pPr>
            <w:r>
              <w:rPr>
                <w:sz w:val="20"/>
              </w:rPr>
              <w:t xml:space="preserve">Incluir los planes de recuperación a la operación normal con tiempos y responsables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r>
      <w:tr w:rsidR="0076001D">
        <w:trPr>
          <w:trHeight w:val="1390"/>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33"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7"/>
              </w:rPr>
              <w:t xml:space="preserve"> </w:t>
            </w:r>
          </w:p>
          <w:p w:rsidR="0076001D" w:rsidRDefault="0034129A">
            <w:pPr>
              <w:spacing w:after="0" w:line="259" w:lineRule="auto"/>
              <w:ind w:left="106" w:firstLine="0"/>
              <w:jc w:val="left"/>
            </w:pPr>
            <w:r>
              <w:rPr>
                <w:sz w:val="20"/>
              </w:rPr>
              <w:t xml:space="preserve">5.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9" w:right="69" w:firstLine="0"/>
            </w:pPr>
            <w:r>
              <w:rPr>
                <w:sz w:val="20"/>
              </w:rPr>
              <w:t xml:space="preserve">Adelantar las pruebas integrales al Plan de Continuidad y documentar los protocolos y resultados, contemplar los lineamientos de </w:t>
            </w:r>
          </w:p>
          <w:p w:rsidR="0076001D" w:rsidRDefault="0034129A">
            <w:pPr>
              <w:tabs>
                <w:tab w:val="right" w:pos="4212"/>
              </w:tabs>
              <w:spacing w:after="0" w:line="259" w:lineRule="auto"/>
              <w:ind w:left="0" w:firstLine="0"/>
              <w:jc w:val="left"/>
            </w:pPr>
            <w:r>
              <w:rPr>
                <w:sz w:val="20"/>
              </w:rPr>
              <w:t xml:space="preserve">ISO 27002:2013 en </w:t>
            </w:r>
            <w:r>
              <w:rPr>
                <w:sz w:val="20"/>
              </w:rPr>
              <w:tab/>
              <w:t xml:space="preserve">el control 17.1.3 </w:t>
            </w:r>
          </w:p>
          <w:p w:rsidR="0076001D" w:rsidRDefault="0034129A">
            <w:pPr>
              <w:spacing w:after="0" w:line="259" w:lineRule="auto"/>
              <w:ind w:left="109" w:firstLine="0"/>
            </w:pPr>
            <w:r>
              <w:rPr>
                <w:sz w:val="20"/>
              </w:rPr>
              <w:t xml:space="preserve">Verificación,   revisión   y   evaluación   de  la continuidad de la seguridad de la información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35"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121" w:firstLine="0"/>
              <w:jc w:val="left"/>
            </w:pPr>
            <w:r>
              <w:rPr>
                <w:noProof/>
                <w:lang w:val="es-ES" w:eastAsia="es-ES"/>
              </w:rPr>
              <w:drawing>
                <wp:inline distT="0" distB="0" distL="0" distR="0">
                  <wp:extent cx="202768" cy="223520"/>
                  <wp:effectExtent l="0" t="0" r="0" b="0"/>
                  <wp:docPr id="10236" name="Picture 10236"/>
                  <wp:cNvGraphicFramePr/>
                  <a:graphic xmlns:a="http://schemas.openxmlformats.org/drawingml/2006/main">
                    <a:graphicData uri="http://schemas.openxmlformats.org/drawingml/2006/picture">
                      <pic:pic xmlns:pic="http://schemas.openxmlformats.org/drawingml/2006/picture">
                        <pic:nvPicPr>
                          <pic:cNvPr id="10236" name="Picture 10236"/>
                          <pic:cNvPicPr/>
                        </pic:nvPicPr>
                        <pic:blipFill>
                          <a:blip r:embed="rId104"/>
                          <a:stretch>
                            <a:fillRect/>
                          </a:stretch>
                        </pic:blipFill>
                        <pic:spPr>
                          <a:xfrm>
                            <a:off x="0" y="0"/>
                            <a:ext cx="202768" cy="223520"/>
                          </a:xfrm>
                          <a:prstGeom prst="rect">
                            <a:avLst/>
                          </a:prstGeom>
                        </pic:spPr>
                      </pic:pic>
                    </a:graphicData>
                  </a:graphic>
                </wp:inline>
              </w:drawing>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4" w:right="71" w:firstLine="0"/>
            </w:pPr>
            <w:r>
              <w:rPr>
                <w:sz w:val="20"/>
              </w:rPr>
              <w:t xml:space="preserve">En el año 2019 se realizaron pruebas de </w:t>
            </w:r>
            <w:proofErr w:type="spellStart"/>
            <w:r>
              <w:rPr>
                <w:sz w:val="20"/>
              </w:rPr>
              <w:t>hiperconvergencia</w:t>
            </w:r>
            <w:proofErr w:type="spellEnd"/>
            <w:r>
              <w:rPr>
                <w:sz w:val="20"/>
              </w:rPr>
              <w:t xml:space="preserve"> y con el sistema </w:t>
            </w:r>
            <w:proofErr w:type="spellStart"/>
            <w:r>
              <w:rPr>
                <w:sz w:val="20"/>
              </w:rPr>
              <w:t>Goobi</w:t>
            </w:r>
            <w:proofErr w:type="spellEnd"/>
            <w:r>
              <w:rPr>
                <w:sz w:val="20"/>
              </w:rPr>
              <w:t xml:space="preserve">, pero no pruebas integrales del Plan de Contingencia y recuperación. </w:t>
            </w:r>
          </w:p>
          <w:p w:rsidR="0076001D" w:rsidRDefault="0034129A">
            <w:pPr>
              <w:spacing w:after="0" w:line="259" w:lineRule="auto"/>
              <w:ind w:left="104" w:firstLine="0"/>
            </w:pPr>
            <w:r>
              <w:rPr>
                <w:sz w:val="20"/>
              </w:rPr>
              <w:t xml:space="preserve">A la fecha no ha sido desarrollado el control MSPI 17.1.3. </w:t>
            </w:r>
          </w:p>
        </w:tc>
      </w:tr>
      <w:tr w:rsidR="0076001D">
        <w:trPr>
          <w:trHeight w:val="1618"/>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37"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106" w:firstLine="0"/>
              <w:jc w:val="left"/>
            </w:pPr>
            <w:r>
              <w:rPr>
                <w:sz w:val="20"/>
              </w:rPr>
              <w:t xml:space="preserve">6.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9" w:right="70" w:firstLine="0"/>
            </w:pPr>
            <w:r>
              <w:rPr>
                <w:sz w:val="20"/>
              </w:rPr>
              <w:t xml:space="preserve">Incluir en el inventario de programación de copias de respaldo el </w:t>
            </w:r>
            <w:proofErr w:type="spellStart"/>
            <w:r>
              <w:rPr>
                <w:sz w:val="20"/>
              </w:rPr>
              <w:t>Backup</w:t>
            </w:r>
            <w:proofErr w:type="spellEnd"/>
            <w:r>
              <w:rPr>
                <w:sz w:val="20"/>
              </w:rPr>
              <w:t xml:space="preserve"> de los archivos de configuración de los sistemas manejadores de bases de datos (RDBMS)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64" w:line="259" w:lineRule="auto"/>
              <w:ind w:left="0" w:firstLine="0"/>
              <w:jc w:val="left"/>
            </w:pPr>
            <w:r>
              <w:rPr>
                <w:rFonts w:ascii="Times New Roman" w:eastAsia="Times New Roman" w:hAnsi="Times New Roman" w:cs="Times New Roman"/>
                <w:sz w:val="11"/>
              </w:rPr>
              <w:t xml:space="preserve"> </w:t>
            </w:r>
          </w:p>
          <w:p w:rsidR="0076001D" w:rsidRDefault="0034129A">
            <w:pPr>
              <w:spacing w:after="0" w:line="259" w:lineRule="auto"/>
              <w:ind w:left="0" w:right="35" w:firstLine="0"/>
              <w:jc w:val="center"/>
            </w:pPr>
            <w:r>
              <w:rPr>
                <w:noProof/>
                <w:lang w:val="es-ES" w:eastAsia="es-ES"/>
              </w:rPr>
              <w:drawing>
                <wp:inline distT="0" distB="0" distL="0" distR="0">
                  <wp:extent cx="224727" cy="213995"/>
                  <wp:effectExtent l="0" t="0" r="0" b="0"/>
                  <wp:docPr id="10238" name="Picture 10238"/>
                  <wp:cNvGraphicFramePr/>
                  <a:graphic xmlns:a="http://schemas.openxmlformats.org/drawingml/2006/main">
                    <a:graphicData uri="http://schemas.openxmlformats.org/drawingml/2006/picture">
                      <pic:pic xmlns:pic="http://schemas.openxmlformats.org/drawingml/2006/picture">
                        <pic:nvPicPr>
                          <pic:cNvPr id="10238" name="Picture 10238"/>
                          <pic:cNvPicPr/>
                        </pic:nvPicPr>
                        <pic:blipFill>
                          <a:blip r:embed="rId128"/>
                          <a:stretch>
                            <a:fillRect/>
                          </a:stretch>
                        </pic:blipFill>
                        <pic:spPr>
                          <a:xfrm>
                            <a:off x="0" y="0"/>
                            <a:ext cx="224727" cy="213995"/>
                          </a:xfrm>
                          <a:prstGeom prst="rect">
                            <a:avLst/>
                          </a:prstGeom>
                        </pic:spPr>
                      </pic:pic>
                    </a:graphicData>
                  </a:graphic>
                </wp:inline>
              </w:drawing>
            </w:r>
            <w:r>
              <w:rPr>
                <w:rFonts w:ascii="Times New Roman" w:eastAsia="Times New Roman" w:hAnsi="Times New Roman" w:cs="Times New Roman"/>
                <w:sz w:val="20"/>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4" w:right="69" w:firstLine="0"/>
            </w:pPr>
            <w:r>
              <w:rPr>
                <w:sz w:val="20"/>
              </w:rPr>
              <w:t xml:space="preserve">Al contar con los </w:t>
            </w:r>
            <w:proofErr w:type="spellStart"/>
            <w:r>
              <w:rPr>
                <w:i/>
                <w:sz w:val="20"/>
              </w:rPr>
              <w:t>snapshots</w:t>
            </w:r>
            <w:proofErr w:type="spellEnd"/>
            <w:r>
              <w:rPr>
                <w:i/>
                <w:sz w:val="20"/>
              </w:rPr>
              <w:t xml:space="preserve"> </w:t>
            </w:r>
            <w:r>
              <w:rPr>
                <w:sz w:val="20"/>
              </w:rPr>
              <w:t xml:space="preserve">de las máquinas virtuales de la </w:t>
            </w:r>
            <w:proofErr w:type="spellStart"/>
            <w:r>
              <w:rPr>
                <w:sz w:val="20"/>
              </w:rPr>
              <w:t>hiperconvergencia</w:t>
            </w:r>
            <w:proofErr w:type="spellEnd"/>
            <w:r>
              <w:rPr>
                <w:sz w:val="20"/>
              </w:rPr>
              <w:t xml:space="preserve"> en donde se encuentran las bases de datos y sus manejadores se está cumpliendo con esta recomendación, el proceso esta </w:t>
            </w:r>
          </w:p>
          <w:p w:rsidR="0076001D" w:rsidRDefault="0034129A">
            <w:pPr>
              <w:spacing w:after="0" w:line="259" w:lineRule="auto"/>
              <w:ind w:left="104" w:firstLine="0"/>
              <w:jc w:val="left"/>
            </w:pPr>
            <w:proofErr w:type="gramStart"/>
            <w:r>
              <w:rPr>
                <w:sz w:val="20"/>
              </w:rPr>
              <w:t>correctamente</w:t>
            </w:r>
            <w:proofErr w:type="gramEnd"/>
            <w:r>
              <w:rPr>
                <w:sz w:val="20"/>
              </w:rPr>
              <w:t xml:space="preserve"> documentado en el manual de gestión de </w:t>
            </w:r>
            <w:proofErr w:type="spellStart"/>
            <w:r>
              <w:rPr>
                <w:sz w:val="20"/>
              </w:rPr>
              <w:t>backups</w:t>
            </w:r>
            <w:proofErr w:type="spellEnd"/>
            <w:r>
              <w:rPr>
                <w:sz w:val="20"/>
              </w:rPr>
              <w:t xml:space="preserve">. </w:t>
            </w:r>
          </w:p>
        </w:tc>
      </w:tr>
      <w:tr w:rsidR="0076001D">
        <w:trPr>
          <w:trHeight w:val="3805"/>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106" w:firstLine="0"/>
              <w:jc w:val="left"/>
            </w:pPr>
            <w:r>
              <w:rPr>
                <w:sz w:val="20"/>
              </w:rPr>
              <w:t xml:space="preserve">7.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9" w:right="70" w:firstLine="0"/>
            </w:pPr>
            <w:r>
              <w:rPr>
                <w:sz w:val="20"/>
              </w:rPr>
              <w:t xml:space="preserve">En el marco de la implementación MSPI dominio 12.3 documentar las políticas, procedimientos e instructivos de gestión de copias de respaldo y recuperación.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4"/>
              </w:rPr>
              <w:t xml:space="preserve"> </w:t>
            </w:r>
          </w:p>
          <w:p w:rsidR="0076001D" w:rsidRDefault="0034129A">
            <w:pPr>
              <w:spacing w:after="0" w:line="259" w:lineRule="auto"/>
              <w:ind w:left="68" w:firstLine="0"/>
              <w:jc w:val="left"/>
            </w:pPr>
            <w:r>
              <w:rPr>
                <w:noProof/>
                <w:lang w:val="es-ES" w:eastAsia="es-ES"/>
              </w:rPr>
              <w:drawing>
                <wp:inline distT="0" distB="0" distL="0" distR="0">
                  <wp:extent cx="224727" cy="213995"/>
                  <wp:effectExtent l="0" t="0" r="0" b="0"/>
                  <wp:docPr id="10240" name="Picture 10240"/>
                  <wp:cNvGraphicFramePr/>
                  <a:graphic xmlns:a="http://schemas.openxmlformats.org/drawingml/2006/main">
                    <a:graphicData uri="http://schemas.openxmlformats.org/drawingml/2006/picture">
                      <pic:pic xmlns:pic="http://schemas.openxmlformats.org/drawingml/2006/picture">
                        <pic:nvPicPr>
                          <pic:cNvPr id="10240" name="Picture 10240"/>
                          <pic:cNvPicPr/>
                        </pic:nvPicPr>
                        <pic:blipFill>
                          <a:blip r:embed="rId128"/>
                          <a:stretch>
                            <a:fillRect/>
                          </a:stretch>
                        </pic:blipFill>
                        <pic:spPr>
                          <a:xfrm>
                            <a:off x="0" y="0"/>
                            <a:ext cx="224727" cy="213995"/>
                          </a:xfrm>
                          <a:prstGeom prst="rect">
                            <a:avLst/>
                          </a:prstGeom>
                        </pic:spPr>
                      </pic:pic>
                    </a:graphicData>
                  </a:graphic>
                </wp:inline>
              </w:drawing>
            </w:r>
            <w:r>
              <w:rPr>
                <w:rFonts w:ascii="Times New Roman" w:eastAsia="Times New Roman" w:hAnsi="Times New Roman" w:cs="Times New Roman"/>
                <w:sz w:val="20"/>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4" w:firstLine="0"/>
            </w:pPr>
            <w:r>
              <w:rPr>
                <w:sz w:val="20"/>
              </w:rPr>
              <w:t xml:space="preserve">Se adelantaron los siguientes documentos como cumplimiento de esta recomendación: </w:t>
            </w:r>
          </w:p>
          <w:p w:rsidR="0076001D" w:rsidRDefault="0034129A">
            <w:pPr>
              <w:numPr>
                <w:ilvl w:val="0"/>
                <w:numId w:val="42"/>
              </w:numPr>
              <w:spacing w:after="13" w:line="248" w:lineRule="auto"/>
              <w:ind w:left="561" w:right="29" w:hanging="425"/>
            </w:pPr>
            <w:r>
              <w:rPr>
                <w:sz w:val="20"/>
              </w:rPr>
              <w:t xml:space="preserve">MN-GT-12-08 Manual gestión de </w:t>
            </w:r>
            <w:proofErr w:type="spellStart"/>
            <w:r>
              <w:rPr>
                <w:sz w:val="20"/>
              </w:rPr>
              <w:t>backup</w:t>
            </w:r>
            <w:proofErr w:type="spellEnd"/>
            <w:r>
              <w:rPr>
                <w:sz w:val="20"/>
              </w:rPr>
              <w:t xml:space="preserve"> V1 </w:t>
            </w:r>
          </w:p>
          <w:p w:rsidR="0076001D" w:rsidRDefault="0034129A">
            <w:pPr>
              <w:numPr>
                <w:ilvl w:val="0"/>
                <w:numId w:val="42"/>
              </w:numPr>
              <w:spacing w:after="2" w:line="238" w:lineRule="auto"/>
              <w:ind w:left="561" w:right="29" w:hanging="425"/>
            </w:pPr>
            <w:r>
              <w:t xml:space="preserve">IN-GT-12-02 Instructivo para el almacenamiento de información en Carpetas Compartidas V1 </w:t>
            </w:r>
          </w:p>
          <w:p w:rsidR="0076001D" w:rsidRDefault="0034129A">
            <w:pPr>
              <w:spacing w:after="0" w:line="238" w:lineRule="auto"/>
              <w:ind w:left="136" w:firstLine="0"/>
            </w:pPr>
            <w:r>
              <w:t xml:space="preserve">Se hace referencia a los instructivos no publicados, ni entregados a la auditoria: </w:t>
            </w:r>
          </w:p>
          <w:p w:rsidR="0076001D" w:rsidRDefault="0034129A">
            <w:pPr>
              <w:numPr>
                <w:ilvl w:val="0"/>
                <w:numId w:val="42"/>
              </w:numPr>
              <w:spacing w:after="1" w:line="240" w:lineRule="auto"/>
              <w:ind w:left="561" w:right="29" w:hanging="425"/>
            </w:pPr>
            <w:r>
              <w:rPr>
                <w:sz w:val="20"/>
              </w:rPr>
              <w:t xml:space="preserve">IN-GT-12-03 Instructivo Para Realizar El </w:t>
            </w:r>
            <w:proofErr w:type="spellStart"/>
            <w:r>
              <w:rPr>
                <w:sz w:val="20"/>
              </w:rPr>
              <w:t>Backup</w:t>
            </w:r>
            <w:proofErr w:type="spellEnd"/>
            <w:r>
              <w:rPr>
                <w:sz w:val="20"/>
              </w:rPr>
              <w:t xml:space="preserve"> Del Servidor Hp Ml370 G4 - Base De Datos Oracle </w:t>
            </w:r>
          </w:p>
          <w:p w:rsidR="0076001D" w:rsidRDefault="0034129A">
            <w:pPr>
              <w:numPr>
                <w:ilvl w:val="0"/>
                <w:numId w:val="42"/>
              </w:numPr>
              <w:spacing w:after="0" w:line="243" w:lineRule="auto"/>
              <w:ind w:left="561" w:right="29" w:hanging="425"/>
            </w:pPr>
            <w:r>
              <w:rPr>
                <w:sz w:val="20"/>
              </w:rPr>
              <w:t xml:space="preserve">IN-GT-12-04 Instructivo Para Restaurar </w:t>
            </w:r>
            <w:proofErr w:type="spellStart"/>
            <w:r>
              <w:rPr>
                <w:sz w:val="20"/>
              </w:rPr>
              <w:t>Backup</w:t>
            </w:r>
            <w:proofErr w:type="spellEnd"/>
            <w:r>
              <w:rPr>
                <w:sz w:val="20"/>
              </w:rPr>
              <w:t xml:space="preserve"> Maquina – Servidor G4- Pruebas </w:t>
            </w:r>
          </w:p>
          <w:p w:rsidR="0076001D" w:rsidRDefault="0034129A">
            <w:pPr>
              <w:spacing w:after="0" w:line="259" w:lineRule="auto"/>
              <w:ind w:left="560" w:firstLine="0"/>
              <w:jc w:val="left"/>
            </w:pPr>
            <w:r>
              <w:rPr>
                <w:sz w:val="20"/>
              </w:rPr>
              <w:t xml:space="preserve">Base De Datos </w:t>
            </w:r>
          </w:p>
        </w:tc>
      </w:tr>
      <w:tr w:rsidR="0076001D">
        <w:trPr>
          <w:trHeight w:val="2772"/>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lastRenderedPageBreak/>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1"/>
              </w:rPr>
              <w:t xml:space="preserve"> </w:t>
            </w:r>
          </w:p>
          <w:p w:rsidR="0076001D" w:rsidRDefault="0034129A">
            <w:pPr>
              <w:spacing w:after="0" w:line="259" w:lineRule="auto"/>
              <w:ind w:left="106" w:firstLine="0"/>
              <w:jc w:val="left"/>
            </w:pPr>
            <w:r>
              <w:rPr>
                <w:sz w:val="20"/>
              </w:rPr>
              <w:t xml:space="preserve">8.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9" w:right="65" w:firstLine="0"/>
            </w:pPr>
            <w:r>
              <w:rPr>
                <w:sz w:val="20"/>
              </w:rPr>
              <w:t xml:space="preserve">Incluir en los estudios previos de la adquisición de la herramienta de </w:t>
            </w:r>
            <w:proofErr w:type="spellStart"/>
            <w:r>
              <w:rPr>
                <w:sz w:val="20"/>
              </w:rPr>
              <w:t>Backup</w:t>
            </w:r>
            <w:proofErr w:type="spellEnd"/>
            <w:r>
              <w:rPr>
                <w:sz w:val="20"/>
              </w:rPr>
              <w:t xml:space="preserve">, la configuración optima de la consola por parte del proveedor y la transferencia de conocimiento para establecer procedimientos efectivos de programación de copias de respaldo, suficiencia en la cobertura, control y monitoreo de </w:t>
            </w:r>
            <w:proofErr w:type="spellStart"/>
            <w:r>
              <w:rPr>
                <w:sz w:val="20"/>
              </w:rPr>
              <w:t>logs</w:t>
            </w:r>
            <w:proofErr w:type="spellEnd"/>
            <w:r>
              <w:rPr>
                <w:sz w:val="20"/>
              </w:rPr>
              <w:t xml:space="preserve">, acciones correctivas oportunas y pruebas de restauración. </w:t>
            </w:r>
          </w:p>
        </w:tc>
        <w:tc>
          <w:tcPr>
            <w:tcW w:w="57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103" w:firstLine="0"/>
              <w:jc w:val="left"/>
            </w:pPr>
            <w:r>
              <w:rPr>
                <w:noProof/>
                <w:lang w:val="es-ES" w:eastAsia="es-ES"/>
              </w:rPr>
              <w:drawing>
                <wp:inline distT="0" distB="0" distL="0" distR="0">
                  <wp:extent cx="224727" cy="213995"/>
                  <wp:effectExtent l="0" t="0" r="0" b="0"/>
                  <wp:docPr id="10242" name="Picture 10242"/>
                  <wp:cNvGraphicFramePr/>
                  <a:graphic xmlns:a="http://schemas.openxmlformats.org/drawingml/2006/main">
                    <a:graphicData uri="http://schemas.openxmlformats.org/drawingml/2006/picture">
                      <pic:pic xmlns:pic="http://schemas.openxmlformats.org/drawingml/2006/picture">
                        <pic:nvPicPr>
                          <pic:cNvPr id="10242" name="Picture 10242"/>
                          <pic:cNvPicPr/>
                        </pic:nvPicPr>
                        <pic:blipFill>
                          <a:blip r:embed="rId128"/>
                          <a:stretch>
                            <a:fillRect/>
                          </a:stretch>
                        </pic:blipFill>
                        <pic:spPr>
                          <a:xfrm>
                            <a:off x="0" y="0"/>
                            <a:ext cx="224727" cy="213995"/>
                          </a:xfrm>
                          <a:prstGeom prst="rect">
                            <a:avLst/>
                          </a:prstGeom>
                        </pic:spPr>
                      </pic:pic>
                    </a:graphicData>
                  </a:graphic>
                </wp:inline>
              </w:drawing>
            </w:r>
          </w:p>
        </w:tc>
        <w:tc>
          <w:tcPr>
            <w:tcW w:w="426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4" w:right="68" w:firstLine="0"/>
            </w:pPr>
            <w:r>
              <w:rPr>
                <w:sz w:val="20"/>
              </w:rPr>
              <w:t xml:space="preserve">En el PETI actualizado a la vigencia 2020, se incluye el análisis DOFA del proyecto para adquirir herramienta de </w:t>
            </w:r>
            <w:proofErr w:type="spellStart"/>
            <w:r>
              <w:rPr>
                <w:sz w:val="20"/>
              </w:rPr>
              <w:t>backup</w:t>
            </w:r>
            <w:proofErr w:type="spellEnd"/>
            <w:r>
              <w:rPr>
                <w:sz w:val="20"/>
              </w:rPr>
              <w:t xml:space="preserve"> debido a la ausencia de un sistema automático de copias de seguridad o de respaldo de la información y bases de datos institucionales. Los procesos de </w:t>
            </w:r>
            <w:proofErr w:type="spellStart"/>
            <w:r>
              <w:rPr>
                <w:sz w:val="20"/>
              </w:rPr>
              <w:t>backup</w:t>
            </w:r>
            <w:proofErr w:type="spellEnd"/>
            <w:r>
              <w:rPr>
                <w:sz w:val="20"/>
              </w:rPr>
              <w:t xml:space="preserve"> de sistemas de información y bases de datos se realizan de manera manual. </w:t>
            </w:r>
          </w:p>
          <w:p w:rsidR="0076001D" w:rsidRDefault="0034129A">
            <w:pPr>
              <w:spacing w:after="0" w:line="259" w:lineRule="auto"/>
              <w:ind w:left="104" w:firstLine="0"/>
              <w:jc w:val="left"/>
            </w:pPr>
            <w:r>
              <w:rPr>
                <w:sz w:val="20"/>
              </w:rPr>
              <w:t xml:space="preserve">Sin embargo, aún no se ha adquirido la herramienta </w:t>
            </w:r>
          </w:p>
        </w:tc>
      </w:tr>
    </w:tbl>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123" w:line="259" w:lineRule="auto"/>
        <w:ind w:left="0" w:firstLine="0"/>
        <w:jc w:val="left"/>
      </w:pPr>
      <w:r>
        <w:rPr>
          <w:rFonts w:ascii="Times New Roman" w:eastAsia="Times New Roman" w:hAnsi="Times New Roman" w:cs="Times New Roman"/>
          <w:sz w:val="17"/>
        </w:rPr>
        <w:t xml:space="preserve"> </w:t>
      </w:r>
    </w:p>
    <w:p w:rsidR="0076001D" w:rsidRDefault="0034129A">
      <w:pPr>
        <w:pStyle w:val="Ttulo4"/>
        <w:tabs>
          <w:tab w:val="center" w:pos="870"/>
          <w:tab w:val="center" w:pos="4780"/>
        </w:tabs>
        <w:spacing w:after="33"/>
        <w:ind w:left="0" w:firstLine="0"/>
      </w:pPr>
      <w:r>
        <w:rPr>
          <w:rFonts w:ascii="Calibri" w:eastAsia="Calibri" w:hAnsi="Calibri" w:cs="Calibri"/>
          <w:b w:val="0"/>
        </w:rPr>
        <w:tab/>
      </w:r>
      <w:r>
        <w:t xml:space="preserve">5.1.3.5 </w:t>
      </w:r>
      <w:r>
        <w:tab/>
        <w:t xml:space="preserve">Nuevas Recomendaciones 2020 </w:t>
      </w:r>
    </w:p>
    <w:p w:rsidR="0076001D" w:rsidRDefault="0034129A">
      <w:pPr>
        <w:spacing w:after="0" w:line="259" w:lineRule="auto"/>
        <w:ind w:left="0" w:firstLine="0"/>
        <w:jc w:val="left"/>
      </w:pPr>
      <w:r>
        <w:rPr>
          <w:b/>
          <w:sz w:val="27"/>
        </w:rPr>
        <w:t xml:space="preserve"> </w:t>
      </w:r>
    </w:p>
    <w:tbl>
      <w:tblPr>
        <w:tblStyle w:val="TableGrid"/>
        <w:tblW w:w="9618" w:type="dxa"/>
        <w:tblInd w:w="164" w:type="dxa"/>
        <w:tblCellMar>
          <w:top w:w="8" w:type="dxa"/>
          <w:left w:w="5" w:type="dxa"/>
        </w:tblCellMar>
        <w:tblLook w:val="04A0" w:firstRow="1" w:lastRow="0" w:firstColumn="1" w:lastColumn="0" w:noHBand="0" w:noVBand="1"/>
      </w:tblPr>
      <w:tblGrid>
        <w:gridCol w:w="385"/>
        <w:gridCol w:w="9233"/>
      </w:tblGrid>
      <w:tr w:rsidR="0076001D">
        <w:trPr>
          <w:trHeight w:val="259"/>
        </w:trPr>
        <w:tc>
          <w:tcPr>
            <w:tcW w:w="67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center"/>
            </w:pPr>
            <w:r>
              <w:rPr>
                <w:b/>
                <w:sz w:val="20"/>
              </w:rPr>
              <w:t xml:space="preserve">N°. </w:t>
            </w:r>
          </w:p>
        </w:tc>
        <w:tc>
          <w:tcPr>
            <w:tcW w:w="8946"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6" w:firstLine="0"/>
              <w:jc w:val="center"/>
            </w:pPr>
            <w:r>
              <w:rPr>
                <w:b/>
                <w:sz w:val="20"/>
              </w:rPr>
              <w:t xml:space="preserve">Recomendación 2020 </w:t>
            </w:r>
          </w:p>
        </w:tc>
      </w:tr>
      <w:tr w:rsidR="0076001D">
        <w:trPr>
          <w:trHeight w:val="1622"/>
        </w:trPr>
        <w:tc>
          <w:tcPr>
            <w:tcW w:w="67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141" w:line="259" w:lineRule="auto"/>
              <w:ind w:left="0" w:firstLine="0"/>
              <w:jc w:val="left"/>
            </w:pPr>
            <w:r>
              <w:rPr>
                <w:b/>
              </w:rPr>
              <w:t xml:space="preserve"> </w:t>
            </w:r>
          </w:p>
          <w:p w:rsidR="0076001D" w:rsidRDefault="0034129A">
            <w:pPr>
              <w:spacing w:after="0" w:line="259" w:lineRule="auto"/>
              <w:ind w:left="0" w:right="34" w:firstLine="0"/>
              <w:jc w:val="right"/>
            </w:pPr>
            <w:r>
              <w:rPr>
                <w:sz w:val="20"/>
              </w:rPr>
              <w:t xml:space="preserve">1. </w:t>
            </w:r>
          </w:p>
        </w:tc>
        <w:tc>
          <w:tcPr>
            <w:tcW w:w="89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114" w:firstLine="0"/>
            </w:pPr>
            <w:r>
              <w:rPr>
                <w:sz w:val="20"/>
              </w:rPr>
              <w:t xml:space="preserve">Actualizar los documentos relacionados con el tratamiento de riesgos para que se articule con las directrices del MSPI, especialmente en la relación de los riesgos TIC con los activos de información críticos y los controles ISO 27002:2013. </w:t>
            </w:r>
          </w:p>
          <w:p w:rsidR="0076001D" w:rsidRDefault="0034129A">
            <w:pPr>
              <w:spacing w:after="0" w:line="259" w:lineRule="auto"/>
              <w:ind w:left="0" w:firstLine="0"/>
              <w:jc w:val="left"/>
            </w:pPr>
            <w:r>
              <w:rPr>
                <w:b/>
                <w:sz w:val="19"/>
              </w:rPr>
              <w:t xml:space="preserve"> </w:t>
            </w:r>
          </w:p>
          <w:p w:rsidR="0076001D" w:rsidRDefault="0034129A">
            <w:pPr>
              <w:spacing w:after="0" w:line="259" w:lineRule="auto"/>
              <w:ind w:left="108" w:right="109" w:firstLine="0"/>
            </w:pPr>
            <w:r>
              <w:rPr>
                <w:sz w:val="20"/>
              </w:rPr>
              <w:t xml:space="preserve">De igual manera, relacionar el cumplimiento del tratamiento de riesgos TIC y de seguridad digital como parte inherente del sistema de gestión de seguridad de la información que hace parte integral del Sistema integrado de gestión de la entidad. </w:t>
            </w:r>
          </w:p>
        </w:tc>
      </w:tr>
      <w:tr w:rsidR="0076001D">
        <w:trPr>
          <w:trHeight w:val="473"/>
        </w:trPr>
        <w:tc>
          <w:tcPr>
            <w:tcW w:w="672"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0" w:right="34" w:firstLine="0"/>
              <w:jc w:val="right"/>
            </w:pPr>
            <w:r>
              <w:rPr>
                <w:sz w:val="20"/>
              </w:rPr>
              <w:t xml:space="preserve">2. </w:t>
            </w:r>
          </w:p>
        </w:tc>
        <w:tc>
          <w:tcPr>
            <w:tcW w:w="89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09" w:firstLine="0"/>
              <w:jc w:val="left"/>
            </w:pPr>
            <w:r>
              <w:rPr>
                <w:sz w:val="20"/>
              </w:rPr>
              <w:t xml:space="preserve">Actualizar la matriz de riesgos dando cobertura a los activos críticos y su relación con los objetivos de control MSPI </w:t>
            </w:r>
          </w:p>
        </w:tc>
      </w:tr>
      <w:tr w:rsidR="0076001D">
        <w:trPr>
          <w:trHeight w:val="1157"/>
        </w:trPr>
        <w:tc>
          <w:tcPr>
            <w:tcW w:w="67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12" w:line="259" w:lineRule="auto"/>
              <w:ind w:left="0" w:firstLine="0"/>
              <w:jc w:val="left"/>
            </w:pPr>
            <w:r>
              <w:rPr>
                <w:b/>
                <w:sz w:val="17"/>
              </w:rPr>
              <w:t xml:space="preserve"> </w:t>
            </w:r>
          </w:p>
          <w:p w:rsidR="0076001D" w:rsidRDefault="0034129A">
            <w:pPr>
              <w:spacing w:after="0" w:line="259" w:lineRule="auto"/>
              <w:ind w:left="0" w:right="34" w:firstLine="0"/>
              <w:jc w:val="right"/>
            </w:pPr>
            <w:r>
              <w:rPr>
                <w:sz w:val="20"/>
              </w:rPr>
              <w:t xml:space="preserve">3. </w:t>
            </w:r>
          </w:p>
        </w:tc>
        <w:tc>
          <w:tcPr>
            <w:tcW w:w="89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06" w:firstLine="0"/>
            </w:pPr>
            <w:r>
              <w:rPr>
                <w:sz w:val="20"/>
              </w:rPr>
              <w:t xml:space="preserve">Actualizar el Plan de tratamiento de riesgos, con las actividades tendientes a dar cumplimiento a los lineamientos del Manual de Gobierno Digital y en especial con el modelo nacional de gestión de riesgos de seguridad digital que establece una interacción con el Modelo de Privacidad y Seguridad de la Información (MPSI); así como la relación con los activos de información que soportan la operación de la Entidad … en todas sus fases o componentes del ciclo PHVA </w:t>
            </w:r>
          </w:p>
        </w:tc>
      </w:tr>
      <w:tr w:rsidR="0076001D">
        <w:trPr>
          <w:trHeight w:val="473"/>
        </w:trPr>
        <w:tc>
          <w:tcPr>
            <w:tcW w:w="672"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0" w:right="34" w:firstLine="0"/>
              <w:jc w:val="right"/>
            </w:pPr>
            <w:r>
              <w:rPr>
                <w:sz w:val="20"/>
              </w:rPr>
              <w:t xml:space="preserve">4. </w:t>
            </w:r>
          </w:p>
        </w:tc>
        <w:tc>
          <w:tcPr>
            <w:tcW w:w="89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Articular el Plan de Continuidad al Plan de tratamiento de Riesgos y garantizar que los instrumentos documentales e insumos sean consecuentes en su nominación y su ubicación. </w:t>
            </w:r>
          </w:p>
        </w:tc>
      </w:tr>
      <w:tr w:rsidR="0076001D">
        <w:trPr>
          <w:trHeight w:val="3284"/>
        </w:trPr>
        <w:tc>
          <w:tcPr>
            <w:tcW w:w="67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right="34" w:firstLine="0"/>
              <w:jc w:val="right"/>
            </w:pPr>
            <w:r>
              <w:rPr>
                <w:sz w:val="20"/>
              </w:rPr>
              <w:t xml:space="preserve">5. </w:t>
            </w:r>
          </w:p>
        </w:tc>
        <w:tc>
          <w:tcPr>
            <w:tcW w:w="89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firstLine="0"/>
              <w:jc w:val="left"/>
            </w:pPr>
            <w:r>
              <w:rPr>
                <w:sz w:val="20"/>
              </w:rPr>
              <w:t xml:space="preserve">Adelantar el Análisis de Impacto al Negocio BIA para establecer los tiempos, los protocolos de contingencia y recuperación y las estrategias de fidelidad de la data entre ambientes. </w:t>
            </w:r>
          </w:p>
          <w:p w:rsidR="0076001D" w:rsidRDefault="0034129A">
            <w:pPr>
              <w:spacing w:after="0" w:line="241" w:lineRule="auto"/>
              <w:ind w:left="108" w:firstLine="0"/>
              <w:jc w:val="left"/>
            </w:pPr>
            <w:r>
              <w:rPr>
                <w:sz w:val="20"/>
              </w:rPr>
              <w:t xml:space="preserve">Actualizar el Plan de continuidad de acuerdo con los resultados del BIA y con las inconsistencias relacionadas en el presente informe. </w:t>
            </w:r>
          </w:p>
          <w:p w:rsidR="0076001D" w:rsidRDefault="0034129A">
            <w:pPr>
              <w:spacing w:after="0" w:line="259" w:lineRule="auto"/>
              <w:ind w:left="108" w:firstLine="0"/>
              <w:jc w:val="left"/>
            </w:pPr>
            <w:r>
              <w:rPr>
                <w:sz w:val="20"/>
              </w:rPr>
              <w:t xml:space="preserve">El siguiente es un modelo de tiempos a establecer </w:t>
            </w:r>
          </w:p>
          <w:p w:rsidR="0076001D" w:rsidRDefault="0034129A">
            <w:pPr>
              <w:spacing w:after="0" w:line="259" w:lineRule="auto"/>
              <w:ind w:left="161" w:right="-283" w:firstLine="0"/>
              <w:jc w:val="left"/>
            </w:pPr>
            <w:r>
              <w:rPr>
                <w:noProof/>
                <w:lang w:val="es-ES" w:eastAsia="es-ES"/>
              </w:rPr>
              <w:drawing>
                <wp:inline distT="0" distB="0" distL="0" distR="0">
                  <wp:extent cx="5754878" cy="1156335"/>
                  <wp:effectExtent l="0" t="0" r="0" b="0"/>
                  <wp:docPr id="10283" name="Picture 10283"/>
                  <wp:cNvGraphicFramePr/>
                  <a:graphic xmlns:a="http://schemas.openxmlformats.org/drawingml/2006/main">
                    <a:graphicData uri="http://schemas.openxmlformats.org/drawingml/2006/picture">
                      <pic:pic xmlns:pic="http://schemas.openxmlformats.org/drawingml/2006/picture">
                        <pic:nvPicPr>
                          <pic:cNvPr id="10283" name="Picture 10283"/>
                          <pic:cNvPicPr/>
                        </pic:nvPicPr>
                        <pic:blipFill>
                          <a:blip r:embed="rId129"/>
                          <a:stretch>
                            <a:fillRect/>
                          </a:stretch>
                        </pic:blipFill>
                        <pic:spPr>
                          <a:xfrm>
                            <a:off x="0" y="0"/>
                            <a:ext cx="5754878" cy="1156335"/>
                          </a:xfrm>
                          <a:prstGeom prst="rect">
                            <a:avLst/>
                          </a:prstGeom>
                        </pic:spPr>
                      </pic:pic>
                    </a:graphicData>
                  </a:graphic>
                </wp:inline>
              </w:drawing>
            </w:r>
          </w:p>
        </w:tc>
      </w:tr>
      <w:tr w:rsidR="0076001D">
        <w:trPr>
          <w:trHeight w:val="931"/>
        </w:trPr>
        <w:tc>
          <w:tcPr>
            <w:tcW w:w="67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30"/>
              </w:rPr>
              <w:lastRenderedPageBreak/>
              <w:t xml:space="preserve"> </w:t>
            </w:r>
          </w:p>
          <w:p w:rsidR="0076001D" w:rsidRDefault="0034129A">
            <w:pPr>
              <w:spacing w:after="0" w:line="259" w:lineRule="auto"/>
              <w:ind w:left="0" w:right="34" w:firstLine="0"/>
              <w:jc w:val="right"/>
            </w:pPr>
            <w:r>
              <w:rPr>
                <w:sz w:val="20"/>
              </w:rPr>
              <w:t xml:space="preserve">6. </w:t>
            </w:r>
          </w:p>
        </w:tc>
        <w:tc>
          <w:tcPr>
            <w:tcW w:w="89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105" w:firstLine="0"/>
            </w:pPr>
            <w:r>
              <w:rPr>
                <w:sz w:val="20"/>
              </w:rPr>
              <w:t xml:space="preserve">En los futuros contratos de sistemas de información en modalidad SAAS, incluir el acceso del IDEP a </w:t>
            </w:r>
            <w:proofErr w:type="spellStart"/>
            <w:r>
              <w:rPr>
                <w:sz w:val="20"/>
              </w:rPr>
              <w:t>la s</w:t>
            </w:r>
            <w:proofErr w:type="spellEnd"/>
            <w:r>
              <w:rPr>
                <w:sz w:val="20"/>
              </w:rPr>
              <w:t xml:space="preserve"> plataformas de monitoreo, el aprovisionamiento sin costo para mantener el desempeño esperado y condiciones de contingencia frente a siniestros. Si es posible solicitar certificaciones TIER de los ambientes en hosting. </w:t>
            </w:r>
          </w:p>
        </w:tc>
      </w:tr>
      <w:tr w:rsidR="0076001D">
        <w:trPr>
          <w:trHeight w:val="277"/>
        </w:trPr>
        <w:tc>
          <w:tcPr>
            <w:tcW w:w="67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right="34" w:firstLine="0"/>
              <w:jc w:val="right"/>
            </w:pPr>
            <w:r>
              <w:rPr>
                <w:sz w:val="20"/>
              </w:rPr>
              <w:t xml:space="preserve">7. </w:t>
            </w:r>
          </w:p>
        </w:tc>
        <w:tc>
          <w:tcPr>
            <w:tcW w:w="89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proofErr w:type="spellStart"/>
            <w:r>
              <w:rPr>
                <w:sz w:val="20"/>
              </w:rPr>
              <w:t>Atende</w:t>
            </w:r>
            <w:proofErr w:type="spellEnd"/>
            <w:r>
              <w:rPr>
                <w:sz w:val="20"/>
              </w:rPr>
              <w:t xml:space="preserve"> las recomendaciones 2019, que se reportan en rojo o amarillo. </w:t>
            </w:r>
          </w:p>
        </w:tc>
      </w:tr>
    </w:tbl>
    <w:p w:rsidR="0076001D" w:rsidRDefault="0034129A">
      <w:pPr>
        <w:spacing w:after="0" w:line="259" w:lineRule="auto"/>
        <w:ind w:left="0" w:firstLine="0"/>
        <w:jc w:val="left"/>
      </w:pPr>
      <w:r>
        <w:rPr>
          <w:b/>
          <w:sz w:val="24"/>
        </w:rPr>
        <w:t xml:space="preserve"> </w:t>
      </w:r>
    </w:p>
    <w:p w:rsidR="0076001D" w:rsidRDefault="0034129A">
      <w:pPr>
        <w:spacing w:after="151" w:line="259" w:lineRule="auto"/>
        <w:ind w:left="0" w:firstLine="0"/>
        <w:jc w:val="left"/>
      </w:pPr>
      <w:r>
        <w:rPr>
          <w:b/>
          <w:sz w:val="24"/>
        </w:rPr>
        <w:t xml:space="preserve"> </w:t>
      </w:r>
    </w:p>
    <w:p w:rsidR="0076001D" w:rsidRDefault="0034129A">
      <w:pPr>
        <w:pStyle w:val="Ttulo3"/>
        <w:spacing w:after="28"/>
        <w:ind w:left="538"/>
      </w:pPr>
      <w:r>
        <w:t xml:space="preserve">5.1.4 Modelo de Seguridad y Privacidad de la Información </w:t>
      </w:r>
    </w:p>
    <w:p w:rsidR="0076001D" w:rsidRDefault="0034129A">
      <w:pPr>
        <w:spacing w:after="0" w:line="259" w:lineRule="auto"/>
        <w:ind w:left="0" w:firstLine="0"/>
        <w:jc w:val="left"/>
      </w:pPr>
      <w:r>
        <w:rPr>
          <w:b/>
          <w:sz w:val="27"/>
        </w:rPr>
        <w:t xml:space="preserve"> </w:t>
      </w:r>
    </w:p>
    <w:p w:rsidR="0076001D" w:rsidRDefault="0034129A">
      <w:pPr>
        <w:ind w:left="545" w:right="162" w:firstLine="0"/>
      </w:pPr>
      <w:r>
        <w:t xml:space="preserve">El modelo de seguridad y privacidad de la información en adelante MSPI, cuyos lineamientos establecen las directrices para la implementación del habilitador trasversal de Seguridad de la información de la Política de Gobierno Digital, busca la implementación de  los lineamientos de seguridad de la información en todos sus procesos, servicios tecnológicos, </w:t>
      </w:r>
    </w:p>
    <w:p w:rsidR="0076001D" w:rsidRDefault="0076001D">
      <w:pPr>
        <w:sectPr w:rsidR="0076001D">
          <w:headerReference w:type="even" r:id="rId130"/>
          <w:headerReference w:type="default" r:id="rId131"/>
          <w:footerReference w:type="even" r:id="rId132"/>
          <w:footerReference w:type="default" r:id="rId133"/>
          <w:headerReference w:type="first" r:id="rId134"/>
          <w:footerReference w:type="first" r:id="rId135"/>
          <w:pgSz w:w="12240" w:h="15840"/>
          <w:pgMar w:top="1949" w:right="1247" w:bottom="1440" w:left="1159" w:header="540" w:footer="392" w:gutter="0"/>
          <w:cols w:space="720"/>
          <w:titlePg/>
        </w:sectPr>
      </w:pPr>
    </w:p>
    <w:p w:rsidR="0076001D" w:rsidRDefault="0034129A">
      <w:pPr>
        <w:spacing w:after="156" w:line="259" w:lineRule="auto"/>
        <w:ind w:left="0" w:firstLine="0"/>
        <w:jc w:val="left"/>
      </w:pPr>
      <w:r>
        <w:rPr>
          <w:sz w:val="14"/>
        </w:rPr>
        <w:lastRenderedPageBreak/>
        <w:t xml:space="preserve"> </w:t>
      </w:r>
    </w:p>
    <w:p w:rsidR="0076001D" w:rsidRDefault="0034129A">
      <w:pPr>
        <w:spacing w:after="224"/>
        <w:ind w:left="545" w:firstLine="0"/>
      </w:pPr>
      <w:proofErr w:type="gramStart"/>
      <w:r>
        <w:t>sistemas</w:t>
      </w:r>
      <w:proofErr w:type="gramEnd"/>
      <w:r>
        <w:t xml:space="preserve"> de información, infraestructura y en general, en todos los activos de información con el fin de preservar la confidencialidad, integridad y disponibilidad y privacidad de los datos, mediante la aplicación de un proceso de gestión efectiva del riesgo. </w:t>
      </w:r>
    </w:p>
    <w:p w:rsidR="0076001D" w:rsidRDefault="0034129A">
      <w:pPr>
        <w:spacing w:after="222"/>
        <w:ind w:left="545" w:firstLine="0"/>
      </w:pPr>
      <w:r>
        <w:t xml:space="preserve">Este habilitador tiene como resultado el Sistema de Gestión de Seguridad de la Información, basado en la norma ISO 27001:2013 y que debe estar articulado con el Sistema de Gestión Integral de la entidad, pero también implica la configuración tecnología de los controles en la plataforma de servicios tecnológicos y un proceso de concientización y sensibilización que garanticen la apropiación de la seguridad como un componente de la cultura organizacional. </w:t>
      </w:r>
    </w:p>
    <w:p w:rsidR="0076001D" w:rsidRDefault="0034129A">
      <w:pPr>
        <w:ind w:left="545" w:firstLine="0"/>
      </w:pPr>
      <w:r>
        <w:t xml:space="preserve">Así las cosas, el IDEP adopta el MSPI basado en la norma ISO 27001:2013, en el MANUAL </w:t>
      </w:r>
    </w:p>
    <w:p w:rsidR="0076001D" w:rsidRDefault="0034129A">
      <w:pPr>
        <w:spacing w:after="224"/>
        <w:ind w:left="545" w:firstLine="0"/>
      </w:pPr>
      <w:r>
        <w:t xml:space="preserve">DEL SISTEMA INTEGRADO DE GESTIÓN, con referencia al Subsistema de Gestión de Seguridad de la Información. </w:t>
      </w:r>
    </w:p>
    <w:p w:rsidR="0076001D" w:rsidRDefault="0034129A">
      <w:pPr>
        <w:spacing w:after="211"/>
        <w:ind w:left="545" w:firstLine="0"/>
      </w:pPr>
      <w:r>
        <w:t xml:space="preserve">Se emiten a continuación las observaciones de cumplimiento a este habilitador de Gobierno Digital y subsistema declarado por la entidad: </w:t>
      </w:r>
    </w:p>
    <w:p w:rsidR="0076001D" w:rsidRDefault="0034129A">
      <w:pPr>
        <w:ind w:left="914"/>
      </w:pPr>
      <w:r>
        <w:rPr>
          <w:noProof/>
          <w:lang w:val="es-ES" w:eastAsia="es-ES"/>
        </w:rPr>
        <w:drawing>
          <wp:inline distT="0" distB="0" distL="0" distR="0">
            <wp:extent cx="226695" cy="228511"/>
            <wp:effectExtent l="0" t="0" r="0" b="0"/>
            <wp:docPr id="10604" name="Picture 10604"/>
            <wp:cNvGraphicFramePr/>
            <a:graphic xmlns:a="http://schemas.openxmlformats.org/drawingml/2006/main">
              <a:graphicData uri="http://schemas.openxmlformats.org/drawingml/2006/picture">
                <pic:pic xmlns:pic="http://schemas.openxmlformats.org/drawingml/2006/picture">
                  <pic:nvPicPr>
                    <pic:cNvPr id="10604" name="Picture 10604"/>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El IDEP cuenta con una política general de seguridad de la información </w:t>
      </w:r>
      <w:r>
        <w:rPr>
          <w:i/>
        </w:rPr>
        <w:t xml:space="preserve">PO-GT-12-01 Política seguridad privacidad </w:t>
      </w:r>
      <w:proofErr w:type="spellStart"/>
      <w:r>
        <w:rPr>
          <w:i/>
        </w:rPr>
        <w:t>info</w:t>
      </w:r>
      <w:proofErr w:type="spellEnd"/>
      <w:r>
        <w:rPr>
          <w:i/>
        </w:rPr>
        <w:t xml:space="preserve"> V3.pdf</w:t>
      </w:r>
      <w:r>
        <w:t xml:space="preserve">, con fecha de mayo de 2019, cuyo contenido aún no se encuentra articulado a los lineamientos establecidos por MINTIC en el MSPI. El documento no describe las políticas de seguridad adoptadas por la entidad, únicamente menciona un listado de instrumentos que no coinciden con el listado del </w:t>
      </w:r>
      <w:r>
        <w:rPr>
          <w:i/>
        </w:rPr>
        <w:t xml:space="preserve">FT- MIC-03-08 Listado Maestro Documentos 2019.xls </w:t>
      </w:r>
      <w:r>
        <w:t xml:space="preserve">publicado por la entidad, no incluye marco normativo, no hace referencia a Gobierno digital y Seguridad Digital y adolece de los elementos puntuales que direccionan la actuación de los funcionarios, contratistas y proveedores en el uso y responsabilidad sobre los activos de información y privilegios. </w:t>
      </w:r>
    </w:p>
    <w:p w:rsidR="0076001D" w:rsidRDefault="0034129A">
      <w:pPr>
        <w:spacing w:after="0" w:line="259" w:lineRule="auto"/>
        <w:ind w:left="0" w:firstLine="0"/>
        <w:jc w:val="left"/>
      </w:pPr>
      <w:r>
        <w:rPr>
          <w:sz w:val="20"/>
        </w:rPr>
        <w:t xml:space="preserve"> </w:t>
      </w:r>
    </w:p>
    <w:p w:rsidR="0076001D" w:rsidRDefault="0034129A">
      <w:pPr>
        <w:ind w:left="914"/>
      </w:pPr>
      <w:r>
        <w:rPr>
          <w:noProof/>
          <w:lang w:val="es-ES" w:eastAsia="es-ES"/>
        </w:rPr>
        <w:drawing>
          <wp:inline distT="0" distB="0" distL="0" distR="0">
            <wp:extent cx="177800" cy="178435"/>
            <wp:effectExtent l="0" t="0" r="0" b="0"/>
            <wp:docPr id="10606" name="Picture 10606"/>
            <wp:cNvGraphicFramePr/>
            <a:graphic xmlns:a="http://schemas.openxmlformats.org/drawingml/2006/main">
              <a:graphicData uri="http://schemas.openxmlformats.org/drawingml/2006/picture">
                <pic:pic xmlns:pic="http://schemas.openxmlformats.org/drawingml/2006/picture">
                  <pic:nvPicPr>
                    <pic:cNvPr id="10606" name="Picture 10606"/>
                    <pic:cNvPicPr/>
                  </pic:nvPicPr>
                  <pic:blipFill>
                    <a:blip r:embed="rId119"/>
                    <a:stretch>
                      <a:fillRect/>
                    </a:stretch>
                  </pic:blipFill>
                  <pic:spPr>
                    <a:xfrm>
                      <a:off x="0" y="0"/>
                      <a:ext cx="177800" cy="178435"/>
                    </a:xfrm>
                    <a:prstGeom prst="rect">
                      <a:avLst/>
                    </a:prstGeom>
                  </pic:spPr>
                </pic:pic>
              </a:graphicData>
            </a:graphic>
          </wp:inline>
        </w:drawing>
      </w:r>
      <w:r>
        <w:rPr>
          <w:rFonts w:ascii="Times New Roman" w:eastAsia="Times New Roman" w:hAnsi="Times New Roman" w:cs="Times New Roman"/>
          <w:sz w:val="20"/>
        </w:rPr>
        <w:t xml:space="preserve">  </w:t>
      </w:r>
      <w:r>
        <w:t>Por otra parte, el documento “</w:t>
      </w:r>
      <w:r>
        <w:rPr>
          <w:i/>
        </w:rPr>
        <w:t>FT-GT-12-20 Compromiso política tic V2.docx</w:t>
      </w:r>
      <w:r>
        <w:t xml:space="preserve">”, si incluye algunas políticas </w:t>
      </w:r>
      <w:proofErr w:type="spellStart"/>
      <w:r>
        <w:t>validas</w:t>
      </w:r>
      <w:proofErr w:type="spellEnd"/>
      <w:r>
        <w:t xml:space="preserve"> y ha sido objeto de socialización y suscripción por parte de los usuarios, lo cual representa un avance importante en la concientización, educación y capacitación sobre la seguridad de la información (control 7.2.2 ISO 27002:2013). Vale aclarar que, si bien la concientización es importante, también lo es que las políticas registradas sean consecuentes con los controles implementados en la plataforma tecnológica. Los hallazgos en esta materia se señalan en el numeral 5.2 </w:t>
      </w:r>
    </w:p>
    <w:p w:rsidR="0076001D" w:rsidRDefault="0034129A">
      <w:pPr>
        <w:ind w:left="914"/>
      </w:pPr>
      <w:r>
        <w:rPr>
          <w:noProof/>
          <w:lang w:val="es-ES" w:eastAsia="es-ES"/>
        </w:rPr>
        <w:drawing>
          <wp:inline distT="0" distB="0" distL="0" distR="0">
            <wp:extent cx="226695" cy="228511"/>
            <wp:effectExtent l="0" t="0" r="0" b="0"/>
            <wp:docPr id="10608" name="Picture 10608"/>
            <wp:cNvGraphicFramePr/>
            <a:graphic xmlns:a="http://schemas.openxmlformats.org/drawingml/2006/main">
              <a:graphicData uri="http://schemas.openxmlformats.org/drawingml/2006/picture">
                <pic:pic xmlns:pic="http://schemas.openxmlformats.org/drawingml/2006/picture">
                  <pic:nvPicPr>
                    <pic:cNvPr id="10608" name="Picture 10608"/>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Como instrumentos de planeación y seguimiento se cuenta con el PL</w:t>
      </w:r>
      <w:r>
        <w:rPr>
          <w:i/>
        </w:rPr>
        <w:t xml:space="preserve">-GT-12-04 Plan Seguridad y Privacidad de la </w:t>
      </w:r>
      <w:proofErr w:type="spellStart"/>
      <w:r>
        <w:rPr>
          <w:i/>
        </w:rPr>
        <w:t>Info</w:t>
      </w:r>
      <w:proofErr w:type="spellEnd"/>
      <w:r>
        <w:rPr>
          <w:i/>
        </w:rPr>
        <w:t xml:space="preserve"> V5.pdf </w:t>
      </w:r>
      <w:r>
        <w:t xml:space="preserve">de enero de 2020 y el </w:t>
      </w:r>
      <w:r>
        <w:rPr>
          <w:i/>
        </w:rPr>
        <w:t xml:space="preserve">Plan Seguridad y Privacidad de la </w:t>
      </w:r>
      <w:proofErr w:type="spellStart"/>
      <w:r>
        <w:rPr>
          <w:i/>
        </w:rPr>
        <w:t>Info</w:t>
      </w:r>
      <w:proofErr w:type="spellEnd"/>
      <w:r>
        <w:rPr>
          <w:i/>
        </w:rPr>
        <w:t xml:space="preserve"> 2020 Seguimiento II.xlsx </w:t>
      </w:r>
      <w:r>
        <w:t xml:space="preserve">revisado de manera trimestral. Estos documentos en primera instancia no son coincidentes y si bien incluyen unas primeras actividades de acercamiento a la implementación del MSPI, que hacen parte de la implementación, adolecen de las siguientes etapas requeridas para la implementación de MSPI: </w:t>
      </w:r>
    </w:p>
    <w:p w:rsidR="0076001D" w:rsidRDefault="0034129A">
      <w:pPr>
        <w:spacing w:after="0" w:line="259" w:lineRule="auto"/>
        <w:ind w:left="0" w:firstLine="0"/>
        <w:jc w:val="left"/>
      </w:pPr>
      <w:r>
        <w:t xml:space="preserve"> </w:t>
      </w:r>
    </w:p>
    <w:p w:rsidR="0076001D" w:rsidRDefault="0034129A">
      <w:pPr>
        <w:numPr>
          <w:ilvl w:val="0"/>
          <w:numId w:val="14"/>
        </w:numPr>
        <w:ind w:hanging="360"/>
      </w:pPr>
      <w:r>
        <w:t xml:space="preserve">Documentación de la Declaración de Aplicabilidad con la elaboración del marco documental de políticas, procedimientos, instructivos y formatos, incluyendo claramente las justificaciones y soportes para la exclusión de controles. </w:t>
      </w:r>
    </w:p>
    <w:p w:rsidR="0076001D" w:rsidRDefault="0034129A">
      <w:pPr>
        <w:spacing w:after="155" w:line="259" w:lineRule="auto"/>
        <w:ind w:left="0" w:firstLine="0"/>
        <w:jc w:val="left"/>
      </w:pPr>
      <w:r>
        <w:rPr>
          <w:sz w:val="14"/>
        </w:rPr>
        <w:lastRenderedPageBreak/>
        <w:t xml:space="preserve"> </w:t>
      </w:r>
    </w:p>
    <w:p w:rsidR="0076001D" w:rsidRDefault="0034129A">
      <w:pPr>
        <w:numPr>
          <w:ilvl w:val="0"/>
          <w:numId w:val="14"/>
        </w:numPr>
        <w:ind w:hanging="360"/>
      </w:pPr>
      <w:r>
        <w:t xml:space="preserve">El levantamiento y planeación de los documentos comunes en el sistema integrado de gestión y la planeación de la salida escalonada de documentos de acuerdo al avance en implementación. </w:t>
      </w:r>
      <w:r>
        <w:rPr>
          <w:rFonts w:ascii="Courier New" w:eastAsia="Courier New" w:hAnsi="Courier New" w:cs="Courier New"/>
        </w:rPr>
        <w:t>o</w:t>
      </w:r>
      <w:r>
        <w:t xml:space="preserve"> Un programa de programa de concientización, educación y capacitación sobre la seguridad de la información (control 7.2.2 ISO 27002:2013). Junto a un plan de gestión del cambio asociado a las restricciones de las políticas y los nuevos procedimientos. Esto articulado con el dominio de uso y apropiación del MRAE. </w:t>
      </w:r>
    </w:p>
    <w:p w:rsidR="0076001D" w:rsidRDefault="0034129A">
      <w:pPr>
        <w:numPr>
          <w:ilvl w:val="0"/>
          <w:numId w:val="14"/>
        </w:numPr>
        <w:spacing w:after="75"/>
        <w:ind w:hanging="360"/>
      </w:pPr>
      <w:r>
        <w:t xml:space="preserve">Implementación de los controles de seguridad de la información en la plataforma TIC de manera incremental y verificación técnica de vulnerabilidades. </w:t>
      </w:r>
    </w:p>
    <w:p w:rsidR="0076001D" w:rsidRDefault="0034129A">
      <w:pPr>
        <w:ind w:left="716" w:hanging="171"/>
      </w:pPr>
      <w:r>
        <w:rPr>
          <w:noProof/>
          <w:lang w:val="es-ES" w:eastAsia="es-ES"/>
        </w:rPr>
        <w:drawing>
          <wp:inline distT="0" distB="0" distL="0" distR="0">
            <wp:extent cx="227546" cy="136525"/>
            <wp:effectExtent l="0" t="0" r="0" b="0"/>
            <wp:docPr id="10649" name="Picture 10649"/>
            <wp:cNvGraphicFramePr/>
            <a:graphic xmlns:a="http://schemas.openxmlformats.org/drawingml/2006/main">
              <a:graphicData uri="http://schemas.openxmlformats.org/drawingml/2006/picture">
                <pic:pic xmlns:pic="http://schemas.openxmlformats.org/drawingml/2006/picture">
                  <pic:nvPicPr>
                    <pic:cNvPr id="10649" name="Picture 10649"/>
                    <pic:cNvPicPr/>
                  </pic:nvPicPr>
                  <pic:blipFill>
                    <a:blip r:embed="rId8"/>
                    <a:stretch>
                      <a:fillRect/>
                    </a:stretch>
                  </pic:blipFill>
                  <pic:spPr>
                    <a:xfrm>
                      <a:off x="0" y="0"/>
                      <a:ext cx="227546" cy="136525"/>
                    </a:xfrm>
                    <a:prstGeom prst="rect">
                      <a:avLst/>
                    </a:prstGeom>
                  </pic:spPr>
                </pic:pic>
              </a:graphicData>
            </a:graphic>
          </wp:inline>
        </w:drawing>
      </w:r>
      <w:r>
        <w:t xml:space="preserve"> El Plan solo incluye las siguientes actividades para las cuales no se observa un análisis de esfuerzo ya que están programadas en bloques de tiempo. Las acciones aportan más no cubren a 9 elementos del MSPI, que está conformado por 6 </w:t>
      </w:r>
      <w:proofErr w:type="spellStart"/>
      <w:r>
        <w:t>clausulas</w:t>
      </w:r>
      <w:proofErr w:type="spellEnd"/>
      <w:r>
        <w:t xml:space="preserve"> principales y 14 dominios con 114 controles. Sobre ellas se emiten las siguientes observaciones y las que presentan avance se muestran sombreadas: </w:t>
      </w:r>
    </w:p>
    <w:p w:rsidR="0076001D" w:rsidRDefault="0034129A">
      <w:pPr>
        <w:spacing w:after="0" w:line="259" w:lineRule="auto"/>
        <w:ind w:left="0" w:firstLine="0"/>
        <w:jc w:val="left"/>
      </w:pPr>
      <w:r>
        <w:t xml:space="preserve"> </w:t>
      </w:r>
    </w:p>
    <w:tbl>
      <w:tblPr>
        <w:tblStyle w:val="TableGrid"/>
        <w:tblW w:w="9183" w:type="dxa"/>
        <w:tblInd w:w="562" w:type="dxa"/>
        <w:tblCellMar>
          <w:top w:w="11" w:type="dxa"/>
          <w:left w:w="4" w:type="dxa"/>
          <w:right w:w="19" w:type="dxa"/>
        </w:tblCellMar>
        <w:tblLook w:val="04A0" w:firstRow="1" w:lastRow="0" w:firstColumn="1" w:lastColumn="0" w:noHBand="0" w:noVBand="1"/>
      </w:tblPr>
      <w:tblGrid>
        <w:gridCol w:w="2614"/>
        <w:gridCol w:w="3758"/>
        <w:gridCol w:w="2811"/>
      </w:tblGrid>
      <w:tr w:rsidR="0076001D">
        <w:trPr>
          <w:trHeight w:val="473"/>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b/>
                <w:sz w:val="20"/>
              </w:rPr>
              <w:t xml:space="preserve">ACTIVIDAD PLAN V5 EN PDF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40" w:firstLine="0"/>
              <w:jc w:val="left"/>
            </w:pPr>
            <w:r>
              <w:rPr>
                <w:b/>
                <w:sz w:val="20"/>
              </w:rPr>
              <w:t xml:space="preserve">ACTIVIDAD SEGUIMIENTO PLAN EN </w:t>
            </w:r>
          </w:p>
          <w:p w:rsidR="0076001D" w:rsidRDefault="0034129A">
            <w:pPr>
              <w:spacing w:after="0" w:line="259" w:lineRule="auto"/>
              <w:ind w:left="18" w:firstLine="0"/>
              <w:jc w:val="center"/>
            </w:pPr>
            <w:r>
              <w:rPr>
                <w:b/>
                <w:sz w:val="20"/>
              </w:rPr>
              <w:t xml:space="preserve">EXCEL </w:t>
            </w:r>
          </w:p>
        </w:tc>
        <w:tc>
          <w:tcPr>
            <w:tcW w:w="28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b/>
                <w:sz w:val="20"/>
              </w:rPr>
              <w:t xml:space="preserve">OBSERVACION DE AUDITORÍA </w:t>
            </w:r>
          </w:p>
        </w:tc>
      </w:tr>
      <w:tr w:rsidR="0076001D">
        <w:trPr>
          <w:trHeight w:val="696"/>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Socializar la política de seguridad de la información del IDEP </w:t>
            </w:r>
          </w:p>
        </w:tc>
        <w:tc>
          <w:tcPr>
            <w:tcW w:w="375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71" w:firstLine="0"/>
              <w:jc w:val="left"/>
            </w:pPr>
            <w:r>
              <w:rPr>
                <w:sz w:val="20"/>
              </w:rPr>
              <w:t xml:space="preserve">Revisar y Actualizar la Política de Seguridad de la Información </w:t>
            </w:r>
          </w:p>
        </w:tc>
        <w:tc>
          <w:tcPr>
            <w:tcW w:w="2811"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34" w:firstLine="0"/>
              <w:jc w:val="left"/>
            </w:pPr>
            <w:r>
              <w:rPr>
                <w:sz w:val="20"/>
              </w:rPr>
              <w:t xml:space="preserve">Dado que la política de seguridad de la información ya publicada, está incompleta, se requiere de una actividad previa de actualización. </w:t>
            </w:r>
          </w:p>
        </w:tc>
      </w:tr>
      <w:tr w:rsidR="0076001D">
        <w:trPr>
          <w:trHeight w:val="704"/>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right="318" w:firstLine="0"/>
            </w:pPr>
            <w:r>
              <w:rPr>
                <w:sz w:val="20"/>
              </w:rPr>
              <w:t xml:space="preserve">Publicar la política de seguridad de la información del IDEP en el portal web de la entidad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1848"/>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right="67" w:firstLine="0"/>
              <w:jc w:val="left"/>
            </w:pPr>
            <w:r>
              <w:rPr>
                <w:sz w:val="20"/>
              </w:rPr>
              <w:t xml:space="preserve">Gestionar la suscripción del compromiso de cumplir con las políticas de seguridad de la información por parte de los nuevos funcionarios y contratistas del IDEP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sz w:val="29"/>
              </w:rPr>
              <w:t xml:space="preserve"> </w:t>
            </w:r>
          </w:p>
          <w:p w:rsidR="0076001D" w:rsidRDefault="0034129A">
            <w:pPr>
              <w:spacing w:after="0" w:line="241" w:lineRule="auto"/>
              <w:ind w:left="71" w:firstLine="0"/>
              <w:jc w:val="left"/>
            </w:pPr>
            <w:r>
              <w:rPr>
                <w:sz w:val="20"/>
              </w:rPr>
              <w:t xml:space="preserve">Gestionar la suscripción del compromiso de cumplir con las políticas de seguridad de la información por parte de los </w:t>
            </w:r>
          </w:p>
          <w:p w:rsidR="0076001D" w:rsidRDefault="0034129A">
            <w:pPr>
              <w:spacing w:after="0" w:line="259" w:lineRule="auto"/>
              <w:ind w:left="71" w:firstLine="0"/>
              <w:jc w:val="left"/>
            </w:pPr>
            <w:r>
              <w:rPr>
                <w:sz w:val="20"/>
              </w:rPr>
              <w:t xml:space="preserve">nuevos funcionarios y contratistas del IDEP </w:t>
            </w:r>
          </w:p>
        </w:tc>
        <w:tc>
          <w:tcPr>
            <w:tcW w:w="2811" w:type="dxa"/>
            <w:tcBorders>
              <w:top w:val="single" w:sz="4" w:space="0" w:color="000000"/>
              <w:left w:val="single" w:sz="4" w:space="0" w:color="000000"/>
              <w:bottom w:val="single" w:sz="4" w:space="0" w:color="000000"/>
              <w:right w:val="single" w:sz="4" w:space="0" w:color="000000"/>
            </w:tcBorders>
            <w:shd w:val="clear" w:color="auto" w:fill="E1EED9"/>
          </w:tcPr>
          <w:p w:rsidR="0076001D" w:rsidRDefault="0034129A">
            <w:pPr>
              <w:spacing w:after="0" w:line="241" w:lineRule="auto"/>
              <w:ind w:left="70" w:firstLine="0"/>
              <w:jc w:val="left"/>
            </w:pPr>
            <w:r>
              <w:rPr>
                <w:sz w:val="20"/>
              </w:rPr>
              <w:t xml:space="preserve">Esta actividad es relevante para las acciones de concientización, sensibilización y capacitación del MSPI. Clausula 7 norma principal </w:t>
            </w:r>
          </w:p>
          <w:p w:rsidR="0076001D" w:rsidRDefault="0034129A">
            <w:pPr>
              <w:spacing w:after="0" w:line="259" w:lineRule="auto"/>
              <w:ind w:left="70" w:firstLine="0"/>
              <w:jc w:val="left"/>
            </w:pPr>
            <w:r>
              <w:rPr>
                <w:sz w:val="20"/>
              </w:rPr>
              <w:t xml:space="preserve">Se entregan evidencias de avance </w:t>
            </w:r>
          </w:p>
        </w:tc>
      </w:tr>
      <w:tr w:rsidR="0076001D">
        <w:trPr>
          <w:trHeight w:val="1208"/>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0" w:lineRule="auto"/>
              <w:ind w:left="71" w:right="14" w:firstLine="0"/>
              <w:jc w:val="left"/>
            </w:pPr>
            <w:r>
              <w:rPr>
                <w:sz w:val="20"/>
              </w:rPr>
              <w:t xml:space="preserve">Determinar el nivel de madurez en el que se encuentra la entidad en cuanto al Modelo de Seguridad y Privacidad de la </w:t>
            </w:r>
          </w:p>
          <w:p w:rsidR="0076001D" w:rsidRDefault="0034129A">
            <w:pPr>
              <w:spacing w:after="0" w:line="259" w:lineRule="auto"/>
              <w:ind w:left="71" w:firstLine="0"/>
              <w:jc w:val="left"/>
            </w:pPr>
            <w:r>
              <w:rPr>
                <w:sz w:val="20"/>
              </w:rPr>
              <w:t xml:space="preserve">Información en cada ítem de Gestión </w:t>
            </w:r>
          </w:p>
        </w:tc>
        <w:tc>
          <w:tcPr>
            <w:tcW w:w="28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1" w:firstLine="0"/>
              <w:jc w:val="left"/>
            </w:pPr>
            <w:r>
              <w:rPr>
                <w:sz w:val="20"/>
              </w:rPr>
              <w:t xml:space="preserve">No se obtuvo evidencia del diligenciamiento del instrumento de autoevaluación MSPI dispuesto por </w:t>
            </w:r>
            <w:proofErr w:type="spellStart"/>
            <w:r>
              <w:rPr>
                <w:sz w:val="20"/>
              </w:rPr>
              <w:t>Mintic</w:t>
            </w:r>
            <w:proofErr w:type="spellEnd"/>
            <w:r>
              <w:rPr>
                <w:sz w:val="20"/>
              </w:rPr>
              <w:t xml:space="preserve">. </w:t>
            </w:r>
          </w:p>
        </w:tc>
      </w:tr>
      <w:tr w:rsidR="0076001D">
        <w:trPr>
          <w:trHeight w:val="701"/>
        </w:trPr>
        <w:tc>
          <w:tcPr>
            <w:tcW w:w="2614"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right="399" w:firstLine="0"/>
            </w:pPr>
            <w:r>
              <w:rPr>
                <w:sz w:val="20"/>
              </w:rPr>
              <w:t xml:space="preserve">Mantener actualizado el inventario de activos de información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Revisión y actualización del instrumento de levantamiento de AI del Área de Tecnología. </w:t>
            </w:r>
          </w:p>
        </w:tc>
        <w:tc>
          <w:tcPr>
            <w:tcW w:w="2811"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t xml:space="preserve"> </w:t>
            </w:r>
          </w:p>
          <w:p w:rsidR="0076001D" w:rsidRDefault="0034129A">
            <w:pPr>
              <w:spacing w:after="0" w:line="259" w:lineRule="auto"/>
              <w:ind w:left="0" w:firstLine="0"/>
              <w:jc w:val="left"/>
            </w:pPr>
            <w:r>
              <w:t xml:space="preserve"> </w:t>
            </w:r>
          </w:p>
          <w:p w:rsidR="0076001D" w:rsidRDefault="0034129A">
            <w:pPr>
              <w:spacing w:after="12" w:line="259" w:lineRule="auto"/>
              <w:ind w:left="0" w:firstLine="0"/>
              <w:jc w:val="left"/>
            </w:pPr>
            <w:r>
              <w:rPr>
                <w:sz w:val="17"/>
              </w:rPr>
              <w:t xml:space="preserve"> </w:t>
            </w:r>
          </w:p>
          <w:p w:rsidR="0076001D" w:rsidRDefault="0034129A">
            <w:pPr>
              <w:spacing w:after="1" w:line="240" w:lineRule="auto"/>
              <w:ind w:left="70" w:firstLine="0"/>
              <w:jc w:val="left"/>
            </w:pPr>
            <w:r>
              <w:rPr>
                <w:sz w:val="20"/>
              </w:rPr>
              <w:t xml:space="preserve">Esta actividad es relevante, pero se informa que el documento Base de Datos de </w:t>
            </w:r>
          </w:p>
          <w:p w:rsidR="0076001D" w:rsidRDefault="0034129A">
            <w:pPr>
              <w:spacing w:after="0" w:line="259" w:lineRule="auto"/>
              <w:ind w:left="70" w:firstLine="0"/>
              <w:jc w:val="left"/>
            </w:pPr>
            <w:r>
              <w:rPr>
                <w:sz w:val="20"/>
              </w:rPr>
              <w:t xml:space="preserve">Activos de Información </w:t>
            </w:r>
          </w:p>
          <w:p w:rsidR="0076001D" w:rsidRDefault="0034129A">
            <w:pPr>
              <w:spacing w:after="0" w:line="259" w:lineRule="auto"/>
              <w:ind w:left="70" w:firstLine="0"/>
              <w:jc w:val="left"/>
            </w:pPr>
            <w:r>
              <w:rPr>
                <w:sz w:val="20"/>
              </w:rPr>
              <w:lastRenderedPageBreak/>
              <w:t xml:space="preserve">Hardware - Software - Servicios.xlsx se actualizará en el tercer trimestre. </w:t>
            </w:r>
          </w:p>
        </w:tc>
      </w:tr>
      <w:tr w:rsidR="0076001D">
        <w:trPr>
          <w:trHeight w:val="929"/>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Socializar el instrumento de levantamiento de AI del Área de Tecnología al jefe de la oficina de planeación.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473"/>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Identificar y actualizar el inventario con los nuevos AI del Área de Tecnología.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1159"/>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right="2" w:firstLine="0"/>
              <w:jc w:val="left"/>
            </w:pPr>
            <w:r>
              <w:rPr>
                <w:sz w:val="20"/>
              </w:rPr>
              <w:t xml:space="preserve">Realizar informe de actualización a los AI del Área de Tecnología, indicando la novedad de la modificación según sea (Actualizaciones al proceso al que pertenece el AI, Incluir un nuevo AI,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bl>
    <w:p w:rsidR="0076001D" w:rsidRDefault="0034129A">
      <w:pPr>
        <w:spacing w:after="0" w:line="259" w:lineRule="auto"/>
        <w:ind w:left="0" w:firstLine="0"/>
      </w:pPr>
      <w:r>
        <w:rPr>
          <w:rFonts w:ascii="Times New Roman" w:eastAsia="Times New Roman" w:hAnsi="Times New Roman" w:cs="Times New Roman"/>
        </w:rPr>
        <w:t xml:space="preserve"> </w:t>
      </w:r>
    </w:p>
    <w:tbl>
      <w:tblPr>
        <w:tblStyle w:val="TableGrid"/>
        <w:tblW w:w="9183" w:type="dxa"/>
        <w:tblInd w:w="562" w:type="dxa"/>
        <w:tblCellMar>
          <w:top w:w="9" w:type="dxa"/>
          <w:left w:w="4" w:type="dxa"/>
          <w:right w:w="19" w:type="dxa"/>
        </w:tblCellMar>
        <w:tblLook w:val="04A0" w:firstRow="1" w:lastRow="0" w:firstColumn="1" w:lastColumn="0" w:noHBand="0" w:noVBand="1"/>
      </w:tblPr>
      <w:tblGrid>
        <w:gridCol w:w="2614"/>
        <w:gridCol w:w="3758"/>
        <w:gridCol w:w="2811"/>
      </w:tblGrid>
      <w:tr w:rsidR="0076001D">
        <w:trPr>
          <w:trHeight w:val="470"/>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b/>
                <w:sz w:val="20"/>
              </w:rPr>
              <w:t xml:space="preserve">ACTIVIDAD PLAN V5 EN PDF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40" w:firstLine="0"/>
              <w:jc w:val="left"/>
            </w:pPr>
            <w:r>
              <w:rPr>
                <w:b/>
                <w:sz w:val="20"/>
              </w:rPr>
              <w:t xml:space="preserve">ACTIVIDAD SEGUIMIENTO PLAN EN </w:t>
            </w:r>
          </w:p>
          <w:p w:rsidR="0076001D" w:rsidRDefault="0034129A">
            <w:pPr>
              <w:spacing w:after="0" w:line="259" w:lineRule="auto"/>
              <w:ind w:left="18" w:firstLine="0"/>
              <w:jc w:val="center"/>
            </w:pPr>
            <w:r>
              <w:rPr>
                <w:b/>
                <w:sz w:val="20"/>
              </w:rPr>
              <w:t xml:space="preserve">EXCEL </w:t>
            </w:r>
          </w:p>
        </w:tc>
        <w:tc>
          <w:tcPr>
            <w:tcW w:w="28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b/>
                <w:sz w:val="20"/>
              </w:rPr>
              <w:t xml:space="preserve">OBSERVACION DE AUDITORÍA </w:t>
            </w:r>
          </w:p>
        </w:tc>
      </w:tr>
      <w:tr w:rsidR="0076001D">
        <w:trPr>
          <w:trHeight w:val="931"/>
        </w:trPr>
        <w:tc>
          <w:tcPr>
            <w:tcW w:w="2614"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Cambios o migraciones de Sistemas de Información (SI) en donde se almacenan o reposan AI, Materialización de riesgos que cambien la criticidad del AI). </w:t>
            </w:r>
          </w:p>
        </w:tc>
        <w:tc>
          <w:tcPr>
            <w:tcW w:w="2811"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r>
      <w:tr w:rsidR="0076001D">
        <w:trPr>
          <w:trHeight w:val="470"/>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Publicar el Registro AI del Área de </w:t>
            </w:r>
          </w:p>
          <w:p w:rsidR="0076001D" w:rsidRDefault="0034129A">
            <w:pPr>
              <w:spacing w:after="0" w:line="259" w:lineRule="auto"/>
              <w:ind w:left="71" w:firstLine="0"/>
              <w:jc w:val="left"/>
            </w:pPr>
            <w:r>
              <w:rPr>
                <w:sz w:val="20"/>
              </w:rPr>
              <w:t xml:space="preserve">Tecnología en el portal web del IDEP.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1157"/>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Reportar al director de la Entidad la información recolectada en el instrumento de AI que se identifica y corresponde a las bases de datos del Área de Tecnología.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1624"/>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Instalar y poner en funcionamiento la solución de copias de respaldo para la información del IDEP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rPr>
              <w:t xml:space="preserve"> </w:t>
            </w:r>
          </w:p>
          <w:p w:rsidR="0076001D" w:rsidRDefault="0034129A">
            <w:pPr>
              <w:spacing w:after="0" w:line="259" w:lineRule="auto"/>
              <w:ind w:left="1" w:firstLine="0"/>
              <w:jc w:val="left"/>
            </w:pPr>
            <w:r>
              <w:rPr>
                <w:rFonts w:ascii="Times New Roman" w:eastAsia="Times New Roman" w:hAnsi="Times New Roman" w:cs="Times New Roman"/>
                <w:sz w:val="18"/>
              </w:rPr>
              <w:t xml:space="preserve"> </w:t>
            </w:r>
          </w:p>
          <w:p w:rsidR="0076001D" w:rsidRDefault="0034129A">
            <w:pPr>
              <w:spacing w:after="0" w:line="259" w:lineRule="auto"/>
              <w:ind w:left="71" w:firstLine="0"/>
              <w:jc w:val="left"/>
            </w:pPr>
            <w:r>
              <w:rPr>
                <w:sz w:val="20"/>
              </w:rPr>
              <w:t xml:space="preserve">Instalar y poner en funcionamiento la solución de copias de respaldo para la información del IDEP </w:t>
            </w:r>
          </w:p>
        </w:tc>
        <w:tc>
          <w:tcPr>
            <w:tcW w:w="28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right="22" w:firstLine="0"/>
              <w:jc w:val="left"/>
            </w:pPr>
            <w:r>
              <w:rPr>
                <w:sz w:val="20"/>
              </w:rPr>
              <w:t xml:space="preserve">Esta actividad aporta a la implementación del objetivo de control 12.3 del MSPI, pero debe acompañarse de los procedimientos y formatos de planeación, bitácora de eventos y restauración. </w:t>
            </w:r>
          </w:p>
        </w:tc>
      </w:tr>
      <w:tr w:rsidR="0076001D">
        <w:trPr>
          <w:trHeight w:val="1156"/>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71" w:firstLine="0"/>
              <w:jc w:val="left"/>
            </w:pPr>
            <w:r>
              <w:rPr>
                <w:sz w:val="20"/>
              </w:rPr>
              <w:t xml:space="preserve">Ejecutar el plan para la transición de servicios de TIC, del protocolo de </w:t>
            </w:r>
          </w:p>
          <w:p w:rsidR="0076001D" w:rsidRDefault="0034129A">
            <w:pPr>
              <w:spacing w:after="0" w:line="259" w:lineRule="auto"/>
              <w:ind w:left="71" w:firstLine="0"/>
              <w:jc w:val="left"/>
            </w:pPr>
            <w:r>
              <w:rPr>
                <w:sz w:val="20"/>
              </w:rPr>
              <w:t xml:space="preserve">internet IPV4 a IPV6 en el IDEP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71" w:firstLine="0"/>
              <w:jc w:val="left"/>
            </w:pPr>
            <w:r>
              <w:rPr>
                <w:sz w:val="20"/>
              </w:rPr>
              <w:t xml:space="preserve">Ejecutar el plan para la transición de servicios de TIC, del protocolo de internet IPV4 a IPV6 en el IDEP </w:t>
            </w:r>
          </w:p>
        </w:tc>
        <w:tc>
          <w:tcPr>
            <w:tcW w:w="2811" w:type="dxa"/>
            <w:tcBorders>
              <w:top w:val="single" w:sz="4" w:space="0" w:color="000000"/>
              <w:left w:val="single" w:sz="4" w:space="0" w:color="000000"/>
              <w:bottom w:val="single" w:sz="4" w:space="0" w:color="000000"/>
              <w:right w:val="single" w:sz="4" w:space="0" w:color="000000"/>
            </w:tcBorders>
            <w:shd w:val="clear" w:color="auto" w:fill="E1EED9"/>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70" w:firstLine="0"/>
              <w:jc w:val="left"/>
            </w:pPr>
            <w:r>
              <w:rPr>
                <w:sz w:val="20"/>
              </w:rPr>
              <w:t xml:space="preserve">Esta actividad aporta a la implementación de los dominios 12 y 13 del MSPI </w:t>
            </w:r>
          </w:p>
        </w:tc>
      </w:tr>
      <w:tr w:rsidR="0076001D">
        <w:trPr>
          <w:trHeight w:val="2542"/>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right="23" w:firstLine="0"/>
              <w:jc w:val="left"/>
            </w:pPr>
            <w:r>
              <w:rPr>
                <w:sz w:val="20"/>
              </w:rPr>
              <w:t xml:space="preserve">Implementar una solución para cubrir los fallos de energía en el centro de cómputo del IDEP Implementar el plan para renovación de la infraestructura TIC del IDEP clasificada como obsoleta o aquella que no tenga respaldo del fabricante (servidores) </w:t>
            </w:r>
          </w:p>
        </w:tc>
        <w:tc>
          <w:tcPr>
            <w:tcW w:w="3758"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rPr>
              <w:t xml:space="preserve"> </w:t>
            </w:r>
          </w:p>
          <w:p w:rsidR="0076001D" w:rsidRDefault="0034129A">
            <w:pPr>
              <w:spacing w:after="0" w:line="259" w:lineRule="auto"/>
              <w:ind w:left="1" w:firstLine="0"/>
              <w:jc w:val="left"/>
            </w:pPr>
            <w:r>
              <w:rPr>
                <w:rFonts w:ascii="Times New Roman" w:eastAsia="Times New Roman" w:hAnsi="Times New Roman" w:cs="Times New Roman"/>
              </w:rPr>
              <w:t xml:space="preserve"> </w:t>
            </w:r>
          </w:p>
          <w:p w:rsidR="0076001D" w:rsidRDefault="0034129A">
            <w:pPr>
              <w:spacing w:after="0" w:line="259" w:lineRule="auto"/>
              <w:ind w:left="1" w:firstLine="0"/>
              <w:jc w:val="left"/>
            </w:pPr>
            <w:r>
              <w:rPr>
                <w:rFonts w:ascii="Times New Roman" w:eastAsia="Times New Roman" w:hAnsi="Times New Roman" w:cs="Times New Roman"/>
              </w:rPr>
              <w:t xml:space="preserve"> </w:t>
            </w:r>
          </w:p>
          <w:p w:rsidR="0076001D" w:rsidRDefault="0034129A">
            <w:pPr>
              <w:spacing w:after="101" w:line="259" w:lineRule="auto"/>
              <w:ind w:left="1" w:firstLine="0"/>
              <w:jc w:val="left"/>
            </w:pPr>
            <w:r>
              <w:rPr>
                <w:rFonts w:ascii="Times New Roman" w:eastAsia="Times New Roman" w:hAnsi="Times New Roman" w:cs="Times New Roman"/>
              </w:rPr>
              <w:t xml:space="preserve"> </w:t>
            </w:r>
          </w:p>
          <w:p w:rsidR="0076001D" w:rsidRDefault="0034129A">
            <w:pPr>
              <w:spacing w:after="1" w:line="241" w:lineRule="auto"/>
              <w:ind w:left="71" w:firstLine="0"/>
              <w:jc w:val="left"/>
            </w:pPr>
            <w:r>
              <w:rPr>
                <w:sz w:val="20"/>
              </w:rPr>
              <w:t xml:space="preserve">Implementar el plan para renovación de la infraestructura TIC del IDEP clasificada como obsoleta o aquella que no tenga respaldo del fabricante </w:t>
            </w:r>
          </w:p>
          <w:p w:rsidR="0076001D" w:rsidRDefault="0034129A">
            <w:pPr>
              <w:spacing w:after="0" w:line="259" w:lineRule="auto"/>
              <w:ind w:left="71" w:firstLine="0"/>
              <w:jc w:val="left"/>
            </w:pPr>
            <w:r>
              <w:rPr>
                <w:sz w:val="20"/>
              </w:rPr>
              <w:t xml:space="preserve">(servidores) </w:t>
            </w:r>
          </w:p>
        </w:tc>
        <w:tc>
          <w:tcPr>
            <w:tcW w:w="2811"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74"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32"/>
              </w:rPr>
              <w:t xml:space="preserve"> </w:t>
            </w:r>
          </w:p>
          <w:p w:rsidR="0076001D" w:rsidRDefault="0034129A">
            <w:pPr>
              <w:spacing w:after="0" w:line="241" w:lineRule="auto"/>
              <w:ind w:left="70" w:firstLine="0"/>
              <w:jc w:val="left"/>
            </w:pPr>
            <w:r>
              <w:rPr>
                <w:sz w:val="20"/>
              </w:rPr>
              <w:t xml:space="preserve">Esta actividad aporta a la implementación del dominio </w:t>
            </w:r>
          </w:p>
          <w:p w:rsidR="0076001D" w:rsidRDefault="0034129A">
            <w:pPr>
              <w:spacing w:after="0" w:line="259" w:lineRule="auto"/>
              <w:ind w:left="70" w:firstLine="0"/>
              <w:jc w:val="left"/>
            </w:pPr>
            <w:r>
              <w:rPr>
                <w:sz w:val="20"/>
              </w:rPr>
              <w:t xml:space="preserve">11 y 17 </w:t>
            </w:r>
          </w:p>
        </w:tc>
      </w:tr>
      <w:tr w:rsidR="0076001D">
        <w:trPr>
          <w:trHeight w:val="930"/>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Realizar la migración de las bases de datos Oracle a un servidor con soporte del fabricante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1163"/>
        </w:trPr>
        <w:tc>
          <w:tcPr>
            <w:tcW w:w="2614"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lastRenderedPageBreak/>
              <w:t xml:space="preserve">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Revisar la guía GU-GT-12-01 Guía para la gestión de incidentes de seguridad de la información y el formato FT-GT-12-21 Registro de incidentes de seguridad de la información </w:t>
            </w:r>
          </w:p>
        </w:tc>
        <w:tc>
          <w:tcPr>
            <w:tcW w:w="2811"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70" w:firstLine="0"/>
              <w:jc w:val="left"/>
            </w:pPr>
            <w:r>
              <w:rPr>
                <w:sz w:val="20"/>
              </w:rPr>
              <w:t xml:space="preserve">Esta actividad aporta a la implementación del dominio 16 </w:t>
            </w:r>
          </w:p>
        </w:tc>
      </w:tr>
      <w:tr w:rsidR="0076001D">
        <w:trPr>
          <w:trHeight w:val="470"/>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Socializar el procedimiento a los colabores del IDEP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698"/>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Divulgar y gestionar los boletines informativos de seguridad, Integrar con CSIRT de Gobierno </w:t>
            </w:r>
          </w:p>
        </w:tc>
        <w:tc>
          <w:tcPr>
            <w:tcW w:w="2811"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70" w:firstLine="0"/>
              <w:jc w:val="left"/>
            </w:pPr>
            <w:r>
              <w:rPr>
                <w:sz w:val="20"/>
              </w:rPr>
              <w:t xml:space="preserve">Aporta a la </w:t>
            </w:r>
            <w:proofErr w:type="spellStart"/>
            <w:r>
              <w:rPr>
                <w:sz w:val="20"/>
              </w:rPr>
              <w:t>clausula</w:t>
            </w:r>
            <w:proofErr w:type="spellEnd"/>
            <w:r>
              <w:rPr>
                <w:sz w:val="20"/>
              </w:rPr>
              <w:t xml:space="preserve"> 7 de la norma principal </w:t>
            </w:r>
          </w:p>
        </w:tc>
      </w:tr>
      <w:tr w:rsidR="0076001D">
        <w:trPr>
          <w:trHeight w:val="470"/>
        </w:trPr>
        <w:tc>
          <w:tcPr>
            <w:tcW w:w="261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375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sz w:val="20"/>
              </w:rPr>
              <w:t xml:space="preserve">Revisar y actualizar la documentación relacionada con la recolección de bases </w:t>
            </w:r>
          </w:p>
        </w:tc>
        <w:tc>
          <w:tcPr>
            <w:tcW w:w="28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0" w:firstLine="0"/>
              <w:jc w:val="left"/>
            </w:pPr>
            <w:r>
              <w:rPr>
                <w:sz w:val="20"/>
              </w:rPr>
              <w:t xml:space="preserve">Esta actividad aporta a la implementación del dominio 8 </w:t>
            </w:r>
          </w:p>
        </w:tc>
      </w:tr>
    </w:tbl>
    <w:p w:rsidR="0076001D" w:rsidRDefault="0034129A">
      <w:pPr>
        <w:spacing w:after="0" w:line="259" w:lineRule="auto"/>
        <w:ind w:left="0" w:firstLine="0"/>
        <w:jc w:val="left"/>
      </w:pPr>
      <w:r>
        <w:rPr>
          <w:rFonts w:ascii="Times New Roman" w:eastAsia="Times New Roman" w:hAnsi="Times New Roman" w:cs="Times New Roman"/>
        </w:rPr>
        <w:t xml:space="preserve"> </w:t>
      </w:r>
    </w:p>
    <w:tbl>
      <w:tblPr>
        <w:tblStyle w:val="TableGrid"/>
        <w:tblW w:w="9183" w:type="dxa"/>
        <w:tblInd w:w="562" w:type="dxa"/>
        <w:tblCellMar>
          <w:left w:w="5" w:type="dxa"/>
          <w:right w:w="63" w:type="dxa"/>
        </w:tblCellMar>
        <w:tblLook w:val="04A0" w:firstRow="1" w:lastRow="0" w:firstColumn="1" w:lastColumn="0" w:noHBand="0" w:noVBand="1"/>
      </w:tblPr>
      <w:tblGrid>
        <w:gridCol w:w="2616"/>
        <w:gridCol w:w="3755"/>
        <w:gridCol w:w="2812"/>
      </w:tblGrid>
      <w:tr w:rsidR="0076001D">
        <w:trPr>
          <w:trHeight w:val="470"/>
        </w:trPr>
        <w:tc>
          <w:tcPr>
            <w:tcW w:w="261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b/>
                <w:sz w:val="20"/>
              </w:rPr>
              <w:t xml:space="preserve">ACTIVIDAD PLAN V5 EN PDF </w:t>
            </w: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38" w:firstLine="0"/>
              <w:jc w:val="left"/>
            </w:pPr>
            <w:r>
              <w:rPr>
                <w:b/>
                <w:sz w:val="20"/>
              </w:rPr>
              <w:t xml:space="preserve">ACTIVIDAD SEGUIMIENTO PLAN EN </w:t>
            </w:r>
          </w:p>
          <w:p w:rsidR="0076001D" w:rsidRDefault="0034129A">
            <w:pPr>
              <w:spacing w:after="0" w:line="259" w:lineRule="auto"/>
              <w:ind w:left="61" w:firstLine="0"/>
              <w:jc w:val="center"/>
            </w:pPr>
            <w:r>
              <w:rPr>
                <w:b/>
                <w:sz w:val="20"/>
              </w:rPr>
              <w:t xml:space="preserve">EXCEL </w:t>
            </w:r>
          </w:p>
        </w:tc>
        <w:tc>
          <w:tcPr>
            <w:tcW w:w="281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b/>
                <w:sz w:val="20"/>
              </w:rPr>
              <w:t xml:space="preserve">OBSERVACION DE AUDITORÍA </w:t>
            </w:r>
          </w:p>
        </w:tc>
      </w:tr>
      <w:tr w:rsidR="0076001D">
        <w:trPr>
          <w:trHeight w:val="470"/>
        </w:trPr>
        <w:tc>
          <w:tcPr>
            <w:tcW w:w="2615"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de datos personales de acuerdo a los estándares emitidos por la SIC </w:t>
            </w:r>
          </w:p>
        </w:tc>
        <w:tc>
          <w:tcPr>
            <w:tcW w:w="2812"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r>
      <w:tr w:rsidR="0076001D">
        <w:trPr>
          <w:trHeight w:val="931"/>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Revisar la información de las bases de los datos registrados en la SIC con los responsables de las mismas, para definir si requieren o no modificaciones.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696"/>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Actualizar y registrar la información de las bases de datos modificadas, registradas en el SIC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473"/>
        </w:trPr>
        <w:tc>
          <w:tcPr>
            <w:tcW w:w="2615"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Revisar los indicadores del PSPI del IDEP </w:t>
            </w:r>
          </w:p>
        </w:tc>
        <w:tc>
          <w:tcPr>
            <w:tcW w:w="2812" w:type="dxa"/>
            <w:vMerge w:val="restart"/>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70" w:firstLine="0"/>
              <w:jc w:val="left"/>
            </w:pPr>
            <w:r>
              <w:rPr>
                <w:sz w:val="20"/>
              </w:rPr>
              <w:t xml:space="preserve">Aporta a la cláusula 9 de la norma principal </w:t>
            </w:r>
          </w:p>
        </w:tc>
      </w:tr>
      <w:tr w:rsidR="0076001D">
        <w:trPr>
          <w:trHeight w:val="238"/>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pPr>
            <w:r>
              <w:rPr>
                <w:sz w:val="20"/>
              </w:rPr>
              <w:t xml:space="preserve">Reportar indicadores del PSPI del IDEP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475"/>
        </w:trPr>
        <w:tc>
          <w:tcPr>
            <w:tcW w:w="2615"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Definir un formato para documentar las Necesidades del Usuario. </w:t>
            </w:r>
          </w:p>
        </w:tc>
        <w:tc>
          <w:tcPr>
            <w:tcW w:w="2812"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0" w:line="259" w:lineRule="auto"/>
              <w:ind w:left="0" w:firstLine="0"/>
              <w:jc w:val="left"/>
            </w:pPr>
            <w:r>
              <w:rPr>
                <w:rFonts w:ascii="Times New Roman" w:eastAsia="Times New Roman" w:hAnsi="Times New Roman" w:cs="Times New Roman"/>
                <w:sz w:val="17"/>
              </w:rPr>
              <w:t xml:space="preserve"> </w:t>
            </w:r>
          </w:p>
          <w:p w:rsidR="0076001D" w:rsidRDefault="0034129A">
            <w:pPr>
              <w:spacing w:after="0" w:line="259" w:lineRule="auto"/>
              <w:ind w:left="70" w:firstLine="0"/>
              <w:jc w:val="left"/>
            </w:pPr>
            <w:r>
              <w:rPr>
                <w:sz w:val="20"/>
              </w:rPr>
              <w:t xml:space="preserve">Aporta al dominio 14 del MSPI. </w:t>
            </w:r>
          </w:p>
        </w:tc>
      </w:tr>
      <w:tr w:rsidR="0076001D">
        <w:trPr>
          <w:trHeight w:val="1386"/>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Definir un procedimiento para llevar a cabo el proceso de mantenimiento al Ciclo de Vida del Software que realizarán los proveedores de los sistemas de información en coordinación con el IDEP.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470"/>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shd w:val="clear" w:color="auto" w:fill="E1EED9"/>
          </w:tcPr>
          <w:p w:rsidR="0076001D" w:rsidRDefault="0034129A">
            <w:pPr>
              <w:spacing w:after="0" w:line="259" w:lineRule="auto"/>
              <w:ind w:left="68" w:right="2" w:firstLine="0"/>
              <w:jc w:val="left"/>
            </w:pPr>
            <w:r>
              <w:rPr>
                <w:sz w:val="20"/>
              </w:rPr>
              <w:t xml:space="preserve">Definir un Formato para el levantamiento de Requerimientos.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700"/>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Realizar un procedimiento para la puesta en producción de los sistemas de información en el IDEP.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1391"/>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Definir un formato para el control de cambios del sistema de información que se da por cambios normativos o necesidades de los usuarios a una funcionalidad en producción.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r w:rsidR="0076001D">
        <w:trPr>
          <w:trHeight w:val="239"/>
        </w:trPr>
        <w:tc>
          <w:tcPr>
            <w:tcW w:w="2615"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Crear Servidor Web Virtual </w:t>
            </w:r>
          </w:p>
        </w:tc>
        <w:tc>
          <w:tcPr>
            <w:tcW w:w="2812"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56"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70" w:firstLine="0"/>
              <w:jc w:val="left"/>
            </w:pPr>
            <w:r>
              <w:rPr>
                <w:sz w:val="20"/>
              </w:rPr>
              <w:lastRenderedPageBreak/>
              <w:t xml:space="preserve">Aporta al dominio 12 del </w:t>
            </w:r>
          </w:p>
          <w:p w:rsidR="0076001D" w:rsidRDefault="0034129A">
            <w:pPr>
              <w:spacing w:after="0" w:line="259" w:lineRule="auto"/>
              <w:ind w:left="70" w:firstLine="0"/>
              <w:jc w:val="left"/>
            </w:pPr>
            <w:r>
              <w:rPr>
                <w:sz w:val="20"/>
              </w:rPr>
              <w:t xml:space="preserve">MSPI </w:t>
            </w:r>
          </w:p>
        </w:tc>
      </w:tr>
      <w:tr w:rsidR="0076001D">
        <w:trPr>
          <w:trHeight w:val="468"/>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Instalar Sistema Operativo Linux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470"/>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Instalación </w:t>
            </w:r>
            <w:proofErr w:type="spellStart"/>
            <w:r>
              <w:rPr>
                <w:sz w:val="20"/>
              </w:rPr>
              <w:t>Govimentum</w:t>
            </w:r>
            <w:proofErr w:type="spellEnd"/>
            <w:r>
              <w:rPr>
                <w:sz w:val="20"/>
              </w:rPr>
              <w:t xml:space="preserve"> 2 / </w:t>
            </w:r>
            <w:proofErr w:type="spellStart"/>
            <w:r>
              <w:rPr>
                <w:sz w:val="20"/>
              </w:rPr>
              <w:t>Drupal</w:t>
            </w:r>
            <w:proofErr w:type="spellEnd"/>
            <w:r>
              <w:rPr>
                <w:sz w:val="20"/>
              </w:rPr>
              <w:t xml:space="preserve"> 8 </w:t>
            </w: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700"/>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375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8" w:firstLine="0"/>
              <w:jc w:val="left"/>
            </w:pPr>
            <w:r>
              <w:rPr>
                <w:sz w:val="20"/>
              </w:rPr>
              <w:t xml:space="preserve">Afinamiento Instalación </w:t>
            </w:r>
            <w:proofErr w:type="spellStart"/>
            <w:r>
              <w:rPr>
                <w:sz w:val="20"/>
              </w:rPr>
              <w:t>Govimentum</w:t>
            </w:r>
            <w:proofErr w:type="spellEnd"/>
            <w:r>
              <w:rPr>
                <w:sz w:val="20"/>
              </w:rPr>
              <w:t xml:space="preserve"> 2- FURAG Accesibilidad y Usabilidad.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bl>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58" w:line="259" w:lineRule="auto"/>
        <w:ind w:left="0" w:firstLine="0"/>
        <w:jc w:val="left"/>
      </w:pPr>
      <w:r>
        <w:rPr>
          <w:rFonts w:ascii="Times New Roman" w:eastAsia="Times New Roman" w:hAnsi="Times New Roman" w:cs="Times New Roman"/>
          <w:sz w:val="20"/>
        </w:rPr>
        <w:t xml:space="preserve"> </w:t>
      </w:r>
    </w:p>
    <w:p w:rsidR="0076001D" w:rsidRDefault="0034129A">
      <w:pPr>
        <w:ind w:left="914"/>
      </w:pPr>
      <w:r>
        <w:rPr>
          <w:noProof/>
          <w:lang w:val="es-ES" w:eastAsia="es-ES"/>
        </w:rPr>
        <w:drawing>
          <wp:inline distT="0" distB="0" distL="0" distR="0">
            <wp:extent cx="226695" cy="228511"/>
            <wp:effectExtent l="0" t="0" r="0" b="0"/>
            <wp:docPr id="11551" name="Picture 11551"/>
            <wp:cNvGraphicFramePr/>
            <a:graphic xmlns:a="http://schemas.openxmlformats.org/drawingml/2006/main">
              <a:graphicData uri="http://schemas.openxmlformats.org/drawingml/2006/picture">
                <pic:pic xmlns:pic="http://schemas.openxmlformats.org/drawingml/2006/picture">
                  <pic:nvPicPr>
                    <pic:cNvPr id="11551" name="Picture 11551"/>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Los Planes entregados no evidencian articulación entre el MSPI y el MRAE como se espera en Gobierno digital. La siguiente imagen muestra este tipo de articulación. </w:t>
      </w:r>
    </w:p>
    <w:p w:rsidR="0076001D" w:rsidRDefault="0034129A">
      <w:pPr>
        <w:spacing w:after="0" w:line="259" w:lineRule="auto"/>
        <w:ind w:left="0" w:right="190" w:firstLine="0"/>
        <w:jc w:val="left"/>
      </w:pPr>
      <w:r>
        <w:t xml:space="preserve"> </w:t>
      </w:r>
    </w:p>
    <w:p w:rsidR="0076001D" w:rsidRDefault="0034129A">
      <w:pPr>
        <w:spacing w:after="0" w:line="259" w:lineRule="auto"/>
        <w:ind w:left="0" w:right="133" w:firstLine="0"/>
        <w:jc w:val="right"/>
      </w:pPr>
      <w:r>
        <w:rPr>
          <w:noProof/>
          <w:lang w:val="es-ES" w:eastAsia="es-ES"/>
        </w:rPr>
        <w:drawing>
          <wp:inline distT="0" distB="0" distL="0" distR="0">
            <wp:extent cx="5536692" cy="3535045"/>
            <wp:effectExtent l="0" t="0" r="0" b="0"/>
            <wp:docPr id="11900" name="Picture 11900"/>
            <wp:cNvGraphicFramePr/>
            <a:graphic xmlns:a="http://schemas.openxmlformats.org/drawingml/2006/main">
              <a:graphicData uri="http://schemas.openxmlformats.org/drawingml/2006/picture">
                <pic:pic xmlns:pic="http://schemas.openxmlformats.org/drawingml/2006/picture">
                  <pic:nvPicPr>
                    <pic:cNvPr id="11900" name="Picture 11900"/>
                    <pic:cNvPicPr/>
                  </pic:nvPicPr>
                  <pic:blipFill>
                    <a:blip r:embed="rId136"/>
                    <a:stretch>
                      <a:fillRect/>
                    </a:stretch>
                  </pic:blipFill>
                  <pic:spPr>
                    <a:xfrm>
                      <a:off x="0" y="0"/>
                      <a:ext cx="5536692" cy="3535045"/>
                    </a:xfrm>
                    <a:prstGeom prst="rect">
                      <a:avLst/>
                    </a:prstGeom>
                  </pic:spPr>
                </pic:pic>
              </a:graphicData>
            </a:graphic>
          </wp:inline>
        </w:drawing>
      </w:r>
      <w:r>
        <w:rPr>
          <w:sz w:val="20"/>
        </w:rPr>
        <w:t xml:space="preserve"> </w:t>
      </w:r>
    </w:p>
    <w:p w:rsidR="0076001D" w:rsidRDefault="0034129A">
      <w:pPr>
        <w:spacing w:after="0" w:line="259" w:lineRule="auto"/>
        <w:ind w:left="0" w:firstLine="0"/>
        <w:jc w:val="left"/>
      </w:pPr>
      <w:r>
        <w:rPr>
          <w:sz w:val="23"/>
        </w:rPr>
        <w:t xml:space="preserve"> </w:t>
      </w:r>
    </w:p>
    <w:p w:rsidR="0076001D" w:rsidRDefault="0034129A">
      <w:pPr>
        <w:spacing w:after="0" w:line="259" w:lineRule="auto"/>
        <w:ind w:left="542" w:firstLine="0"/>
        <w:jc w:val="left"/>
      </w:pPr>
      <w:r>
        <w:rPr>
          <w:noProof/>
          <w:lang w:val="es-ES" w:eastAsia="es-ES"/>
        </w:rPr>
        <w:drawing>
          <wp:inline distT="0" distB="0" distL="0" distR="0">
            <wp:extent cx="227546" cy="136525"/>
            <wp:effectExtent l="0" t="0" r="0" b="0"/>
            <wp:docPr id="11584" name="Picture 11584"/>
            <wp:cNvGraphicFramePr/>
            <a:graphic xmlns:a="http://schemas.openxmlformats.org/drawingml/2006/main">
              <a:graphicData uri="http://schemas.openxmlformats.org/drawingml/2006/picture">
                <pic:pic xmlns:pic="http://schemas.openxmlformats.org/drawingml/2006/picture">
                  <pic:nvPicPr>
                    <pic:cNvPr id="11584" name="Picture 11584"/>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ind w:left="713" w:firstLine="348"/>
      </w:pPr>
      <w:r>
        <w:t xml:space="preserve">Los siguientes documentos identificados en la auditoria, no han sido asociados a una Declaración de Aplicabilidad del MSPI, el cual se constituye en el instrumento que determina el alcance de la implementación. A continuación, se presenta la asociación del dominio al que podría relacionarse cada documento, con la salvedad de que los documentos que se enuncian deben ser revisados y articulados al MSPI. Se incluye además una columna que especifica si el documento estaba publicado o si por el contrario fue incluido en la presente relación: </w:t>
      </w:r>
    </w:p>
    <w:p w:rsidR="0076001D" w:rsidRDefault="0034129A">
      <w:pPr>
        <w:spacing w:after="21" w:line="259" w:lineRule="auto"/>
        <w:ind w:left="0" w:firstLine="0"/>
        <w:jc w:val="left"/>
      </w:pPr>
      <w:r>
        <w:rPr>
          <w:sz w:val="20"/>
        </w:rPr>
        <w:t xml:space="preserve"> </w:t>
      </w:r>
    </w:p>
    <w:p w:rsidR="0076001D" w:rsidRDefault="0034129A">
      <w:pPr>
        <w:spacing w:after="0" w:line="259" w:lineRule="auto"/>
        <w:ind w:left="0" w:firstLine="0"/>
        <w:jc w:val="left"/>
      </w:pPr>
      <w:r>
        <w:rPr>
          <w:sz w:val="24"/>
        </w:rPr>
        <w:t xml:space="preserve"> </w:t>
      </w:r>
    </w:p>
    <w:tbl>
      <w:tblPr>
        <w:tblStyle w:val="TableGrid"/>
        <w:tblW w:w="9333" w:type="dxa"/>
        <w:tblInd w:w="446" w:type="dxa"/>
        <w:tblCellMar>
          <w:left w:w="4" w:type="dxa"/>
          <w:right w:w="13" w:type="dxa"/>
        </w:tblCellMar>
        <w:tblLook w:val="04A0" w:firstRow="1" w:lastRow="0" w:firstColumn="1" w:lastColumn="0" w:noHBand="0" w:noVBand="1"/>
      </w:tblPr>
      <w:tblGrid>
        <w:gridCol w:w="1525"/>
        <w:gridCol w:w="4434"/>
        <w:gridCol w:w="1320"/>
        <w:gridCol w:w="1066"/>
        <w:gridCol w:w="988"/>
      </w:tblGrid>
      <w:tr w:rsidR="0076001D">
        <w:trPr>
          <w:trHeight w:val="698"/>
        </w:trPr>
        <w:tc>
          <w:tcPr>
            <w:tcW w:w="1525"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0" w:firstLine="0"/>
              <w:jc w:val="left"/>
            </w:pPr>
            <w:r>
              <w:rPr>
                <w:sz w:val="19"/>
              </w:rPr>
              <w:t xml:space="preserve"> </w:t>
            </w:r>
          </w:p>
          <w:p w:rsidR="0076001D" w:rsidRDefault="0034129A">
            <w:pPr>
              <w:spacing w:after="0" w:line="259" w:lineRule="auto"/>
              <w:ind w:left="12" w:firstLine="0"/>
              <w:jc w:val="center"/>
            </w:pPr>
            <w:r>
              <w:rPr>
                <w:b/>
                <w:sz w:val="20"/>
              </w:rPr>
              <w:t xml:space="preserve">CÓDIGO </w:t>
            </w:r>
          </w:p>
        </w:tc>
        <w:tc>
          <w:tcPr>
            <w:tcW w:w="4434"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sz w:val="19"/>
              </w:rPr>
              <w:t xml:space="preserve"> </w:t>
            </w:r>
          </w:p>
          <w:p w:rsidR="0076001D" w:rsidRDefault="0034129A">
            <w:pPr>
              <w:spacing w:after="0" w:line="259" w:lineRule="auto"/>
              <w:ind w:left="14" w:firstLine="0"/>
              <w:jc w:val="center"/>
            </w:pPr>
            <w:r>
              <w:rPr>
                <w:b/>
                <w:sz w:val="20"/>
              </w:rPr>
              <w:t xml:space="preserve">NOMBRE DEL DOCUMENTO </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sz w:val="19"/>
              </w:rPr>
              <w:t xml:space="preserve"> </w:t>
            </w:r>
          </w:p>
          <w:p w:rsidR="0076001D" w:rsidRDefault="0034129A">
            <w:pPr>
              <w:spacing w:after="0" w:line="259" w:lineRule="auto"/>
              <w:ind w:left="71" w:firstLine="0"/>
              <w:jc w:val="left"/>
            </w:pPr>
            <w:r>
              <w:rPr>
                <w:b/>
                <w:sz w:val="20"/>
              </w:rPr>
              <w:t xml:space="preserve">Publicado </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73" w:firstLine="0"/>
              <w:jc w:val="left"/>
            </w:pPr>
            <w:r>
              <w:rPr>
                <w:b/>
                <w:sz w:val="20"/>
              </w:rPr>
              <w:t xml:space="preserve">MSPI </w:t>
            </w:r>
          </w:p>
          <w:p w:rsidR="0076001D" w:rsidRDefault="0034129A">
            <w:pPr>
              <w:spacing w:after="0" w:line="259" w:lineRule="auto"/>
              <w:ind w:left="73" w:firstLine="0"/>
              <w:jc w:val="left"/>
            </w:pPr>
            <w:r>
              <w:rPr>
                <w:b/>
                <w:sz w:val="20"/>
              </w:rPr>
              <w:t xml:space="preserve">Dominio/ </w:t>
            </w:r>
          </w:p>
          <w:p w:rsidR="0076001D" w:rsidRDefault="0034129A">
            <w:pPr>
              <w:spacing w:after="0" w:line="259" w:lineRule="auto"/>
              <w:ind w:left="73" w:firstLine="0"/>
              <w:jc w:val="left"/>
            </w:pPr>
            <w:r>
              <w:rPr>
                <w:b/>
                <w:sz w:val="20"/>
              </w:rPr>
              <w:lastRenderedPageBreak/>
              <w:t xml:space="preserve">Clausula </w:t>
            </w:r>
          </w:p>
        </w:tc>
        <w:tc>
          <w:tcPr>
            <w:tcW w:w="988"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sz w:val="19"/>
              </w:rPr>
              <w:lastRenderedPageBreak/>
              <w:t xml:space="preserve"> </w:t>
            </w:r>
          </w:p>
          <w:p w:rsidR="0076001D" w:rsidRDefault="0034129A">
            <w:pPr>
              <w:spacing w:after="0" w:line="259" w:lineRule="auto"/>
              <w:ind w:left="83" w:firstLine="0"/>
            </w:pPr>
            <w:r>
              <w:rPr>
                <w:b/>
                <w:sz w:val="20"/>
              </w:rPr>
              <w:t xml:space="preserve">ESTADO </w:t>
            </w:r>
          </w:p>
        </w:tc>
      </w:tr>
      <w:tr w:rsidR="0076001D">
        <w:trPr>
          <w:trHeight w:val="239"/>
        </w:trPr>
        <w:tc>
          <w:tcPr>
            <w:tcW w:w="152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54" w:firstLine="0"/>
              <w:jc w:val="left"/>
            </w:pPr>
            <w:r>
              <w:rPr>
                <w:sz w:val="20"/>
              </w:rPr>
              <w:t xml:space="preserve">CR-GT-12-01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 w:firstLine="0"/>
              <w:jc w:val="center"/>
            </w:pPr>
            <w:r>
              <w:rPr>
                <w:sz w:val="20"/>
              </w:rPr>
              <w:t xml:space="preserve">Caracterización de Gestión Tecnológica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7" w:firstLine="0"/>
              <w:jc w:val="center"/>
            </w:pPr>
            <w:r>
              <w:rPr>
                <w:sz w:val="20"/>
              </w:rPr>
              <w:t xml:space="preserve">6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9" w:firstLine="0"/>
              <w:jc w:val="center"/>
            </w:pPr>
            <w:r>
              <w:rPr>
                <w:sz w:val="20"/>
              </w:rPr>
              <w:t xml:space="preserve">Vigente </w:t>
            </w:r>
          </w:p>
        </w:tc>
      </w:tr>
      <w:tr w:rsidR="0076001D">
        <w:trPr>
          <w:trHeight w:val="476"/>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2" w:firstLine="0"/>
            </w:pPr>
            <w:r>
              <w:rPr>
                <w:sz w:val="20"/>
              </w:rPr>
              <w:t xml:space="preserve">PRO-GT-12-01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 w:firstLine="0"/>
              <w:jc w:val="center"/>
            </w:pPr>
            <w:r>
              <w:rPr>
                <w:sz w:val="20"/>
              </w:rPr>
              <w:t xml:space="preserve">Administración de Servidores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38" w:firstLine="0"/>
              <w:jc w:val="left"/>
            </w:pPr>
            <w:r>
              <w:rPr>
                <w:sz w:val="20"/>
              </w:rPr>
              <w:t xml:space="preserve">Obsoleto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2" w:firstLine="0"/>
            </w:pPr>
            <w:r>
              <w:rPr>
                <w:sz w:val="20"/>
              </w:rPr>
              <w:t xml:space="preserve">PRO-GT-12-02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2" w:firstLine="0"/>
              <w:jc w:val="center"/>
            </w:pPr>
            <w:r>
              <w:rPr>
                <w:sz w:val="20"/>
              </w:rPr>
              <w:t xml:space="preserve">Asignación de Usuarios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9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2" w:firstLine="0"/>
            </w:pPr>
            <w:r>
              <w:rPr>
                <w:sz w:val="20"/>
              </w:rPr>
              <w:t xml:space="preserve">PRO-GT-12-04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6" w:firstLine="0"/>
              <w:jc w:val="center"/>
            </w:pPr>
            <w:r>
              <w:rPr>
                <w:sz w:val="20"/>
              </w:rPr>
              <w:t xml:space="preserve">Protección del intercambio de información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2" w:firstLine="0"/>
            </w:pPr>
            <w:r>
              <w:rPr>
                <w:sz w:val="20"/>
              </w:rPr>
              <w:t xml:space="preserve">PRO-GT-12-05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0" w:firstLine="0"/>
              <w:jc w:val="left"/>
            </w:pPr>
            <w:r>
              <w:rPr>
                <w:sz w:val="20"/>
              </w:rPr>
              <w:t xml:space="preserve">Mantenimiento de Infraestructura y Servicios de </w:t>
            </w:r>
          </w:p>
          <w:p w:rsidR="0076001D" w:rsidRDefault="0034129A">
            <w:pPr>
              <w:spacing w:after="0" w:line="259" w:lineRule="auto"/>
              <w:ind w:left="14" w:firstLine="0"/>
              <w:jc w:val="center"/>
            </w:pPr>
            <w:r>
              <w:rPr>
                <w:sz w:val="20"/>
              </w:rPr>
              <w:t xml:space="preserve">Tecnología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2" w:firstLine="0"/>
            </w:pPr>
            <w:r>
              <w:rPr>
                <w:sz w:val="20"/>
              </w:rPr>
              <w:t xml:space="preserve">PRO-GT-12-07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4" w:firstLine="0"/>
              <w:jc w:val="center"/>
            </w:pPr>
            <w:r>
              <w:rPr>
                <w:sz w:val="20"/>
              </w:rPr>
              <w:t xml:space="preserve">Registro de Activos de Información Tipo Software, Hardware y Servicios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8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8"/>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2" w:firstLine="0"/>
            </w:pPr>
            <w:r>
              <w:rPr>
                <w:sz w:val="20"/>
              </w:rPr>
              <w:t xml:space="preserve">PRO-GT-12-08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Formulación y Seguimiento del PETIC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480" w:right="5" w:hanging="334"/>
              <w:jc w:val="left"/>
            </w:pPr>
            <w:r>
              <w:rPr>
                <w:sz w:val="20"/>
              </w:rPr>
              <w:t xml:space="preserve">Cláusula 5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bl>
    <w:p w:rsidR="0076001D" w:rsidRDefault="0034129A">
      <w:pPr>
        <w:spacing w:after="0" w:line="259" w:lineRule="auto"/>
        <w:ind w:left="0" w:firstLine="0"/>
      </w:pPr>
      <w:r>
        <w:rPr>
          <w:rFonts w:ascii="Times New Roman" w:eastAsia="Times New Roman" w:hAnsi="Times New Roman" w:cs="Times New Roman"/>
        </w:rPr>
        <w:t xml:space="preserve"> </w:t>
      </w:r>
    </w:p>
    <w:tbl>
      <w:tblPr>
        <w:tblStyle w:val="TableGrid"/>
        <w:tblW w:w="9333" w:type="dxa"/>
        <w:tblInd w:w="446" w:type="dxa"/>
        <w:tblCellMar>
          <w:left w:w="4" w:type="dxa"/>
          <w:right w:w="13" w:type="dxa"/>
        </w:tblCellMar>
        <w:tblLook w:val="04A0" w:firstRow="1" w:lastRow="0" w:firstColumn="1" w:lastColumn="0" w:noHBand="0" w:noVBand="1"/>
      </w:tblPr>
      <w:tblGrid>
        <w:gridCol w:w="1525"/>
        <w:gridCol w:w="4434"/>
        <w:gridCol w:w="1320"/>
        <w:gridCol w:w="1066"/>
        <w:gridCol w:w="988"/>
      </w:tblGrid>
      <w:tr w:rsidR="0076001D">
        <w:trPr>
          <w:trHeight w:val="698"/>
        </w:trPr>
        <w:tc>
          <w:tcPr>
            <w:tcW w:w="1525"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6" w:firstLine="0"/>
              <w:jc w:val="center"/>
            </w:pPr>
            <w:r>
              <w:rPr>
                <w:b/>
                <w:sz w:val="20"/>
              </w:rPr>
              <w:t xml:space="preserve">CÓDIGO </w:t>
            </w:r>
          </w:p>
        </w:tc>
        <w:tc>
          <w:tcPr>
            <w:tcW w:w="4434"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4" w:firstLine="0"/>
              <w:jc w:val="center"/>
            </w:pPr>
            <w:r>
              <w:rPr>
                <w:b/>
                <w:sz w:val="20"/>
              </w:rPr>
              <w:t xml:space="preserve">NOMBRE DEL DOCUMENTO </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71" w:firstLine="0"/>
              <w:jc w:val="left"/>
            </w:pPr>
            <w:r>
              <w:rPr>
                <w:b/>
                <w:sz w:val="20"/>
              </w:rPr>
              <w:t xml:space="preserve">Publicado </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73" w:firstLine="0"/>
              <w:jc w:val="left"/>
            </w:pPr>
            <w:r>
              <w:rPr>
                <w:b/>
                <w:sz w:val="20"/>
              </w:rPr>
              <w:t xml:space="preserve">MSPI </w:t>
            </w:r>
          </w:p>
          <w:p w:rsidR="0076001D" w:rsidRDefault="0034129A">
            <w:pPr>
              <w:spacing w:after="0" w:line="259" w:lineRule="auto"/>
              <w:ind w:left="73" w:firstLine="0"/>
              <w:jc w:val="left"/>
            </w:pPr>
            <w:r>
              <w:rPr>
                <w:b/>
                <w:sz w:val="20"/>
              </w:rPr>
              <w:t xml:space="preserve">Dominio/ </w:t>
            </w:r>
          </w:p>
          <w:p w:rsidR="0076001D" w:rsidRDefault="0034129A">
            <w:pPr>
              <w:spacing w:after="0" w:line="259" w:lineRule="auto"/>
              <w:ind w:left="73" w:firstLine="0"/>
              <w:jc w:val="left"/>
            </w:pPr>
            <w:r>
              <w:rPr>
                <w:b/>
                <w:sz w:val="20"/>
              </w:rPr>
              <w:t xml:space="preserve">Clausula </w:t>
            </w:r>
          </w:p>
        </w:tc>
        <w:tc>
          <w:tcPr>
            <w:tcW w:w="988"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83" w:firstLine="0"/>
            </w:pPr>
            <w:r>
              <w:rPr>
                <w:b/>
                <w:sz w:val="20"/>
              </w:rPr>
              <w:t xml:space="preserve">ESTADO </w:t>
            </w:r>
          </w:p>
        </w:tc>
      </w:tr>
      <w:tr w:rsidR="0076001D">
        <w:trPr>
          <w:trHeight w:val="474"/>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4" w:firstLine="0"/>
            </w:pPr>
            <w:r>
              <w:rPr>
                <w:sz w:val="20"/>
              </w:rPr>
              <w:t xml:space="preserve">PRO-GT-12-09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40" w:firstLine="0"/>
              <w:jc w:val="center"/>
            </w:pPr>
            <w:r>
              <w:rPr>
                <w:sz w:val="20"/>
              </w:rPr>
              <w:t xml:space="preserve">Monitoreo Uso de los Medios de Almacenamiento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4" w:firstLine="0"/>
            </w:pPr>
            <w:r>
              <w:rPr>
                <w:sz w:val="20"/>
              </w:rPr>
              <w:t xml:space="preserve">PRO-GT-12-10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0" w:firstLine="0"/>
              <w:jc w:val="center"/>
            </w:pPr>
            <w:r>
              <w:rPr>
                <w:sz w:val="20"/>
              </w:rPr>
              <w:t xml:space="preserve">Mesa de Servicios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60" w:firstLine="0"/>
              <w:jc w:val="left"/>
            </w:pPr>
            <w:r>
              <w:rPr>
                <w:sz w:val="20"/>
              </w:rPr>
              <w:t xml:space="preserve">Vigente </w:t>
            </w:r>
          </w:p>
        </w:tc>
      </w:tr>
      <w:tr w:rsidR="0076001D">
        <w:trPr>
          <w:trHeight w:val="470"/>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56" w:firstLine="0"/>
              <w:jc w:val="left"/>
            </w:pPr>
            <w:r>
              <w:rPr>
                <w:sz w:val="20"/>
              </w:rPr>
              <w:t xml:space="preserve">PO-GT-12-01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Política de seguridad y privacidad de la información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5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0"/>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PL-GT-12-01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3" w:firstLine="0"/>
              <w:jc w:val="center"/>
            </w:pPr>
            <w:r>
              <w:rPr>
                <w:sz w:val="20"/>
              </w:rPr>
              <w:t xml:space="preserve">Plan Estratégico de Tecnologías de la Información y Comunicaciones 2017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6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238"/>
        </w:trPr>
        <w:tc>
          <w:tcPr>
            <w:tcW w:w="152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80" w:firstLine="0"/>
              <w:jc w:val="left"/>
            </w:pPr>
            <w:r>
              <w:rPr>
                <w:sz w:val="20"/>
              </w:rPr>
              <w:t xml:space="preserve">PL-GT-12-02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4" w:firstLine="0"/>
              <w:jc w:val="center"/>
            </w:pPr>
            <w:r>
              <w:rPr>
                <w:sz w:val="20"/>
              </w:rPr>
              <w:t xml:space="preserve">Plan de Contingencia Tecnológica IDEP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0" w:firstLine="0"/>
              <w:jc w:val="center"/>
            </w:pPr>
            <w:r>
              <w:rPr>
                <w:sz w:val="20"/>
              </w:rPr>
              <w:t xml:space="preserve">17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PL-GT-12-03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Plan de monitoreo anual de uso de recursos tecnológicos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0"/>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PL-GT-12-04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6" w:firstLine="0"/>
              <w:jc w:val="center"/>
            </w:pPr>
            <w:r>
              <w:rPr>
                <w:sz w:val="20"/>
              </w:rPr>
              <w:t xml:space="preserve">Plan de Seguridad y Privacidad de la Información - IDEP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5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60" w:firstLine="0"/>
              <w:jc w:val="left"/>
            </w:pPr>
            <w:r>
              <w:rPr>
                <w:sz w:val="20"/>
              </w:rPr>
              <w:t xml:space="preserve">Vigente </w:t>
            </w:r>
          </w:p>
        </w:tc>
      </w:tr>
      <w:tr w:rsidR="0076001D">
        <w:trPr>
          <w:trHeight w:val="468"/>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PL-GT-12-05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Plan de Tratamiento de Riesgos de Seguridad y Privacidad de la Información – IDEP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369" w:hanging="223"/>
              <w:jc w:val="left"/>
            </w:pPr>
            <w:r>
              <w:rPr>
                <w:sz w:val="20"/>
              </w:rPr>
              <w:t xml:space="preserve">Cláusula 8, 9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MN-GT-12-01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Manual del soporte de primer nivel y administración del antivirus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60" w:firstLine="0"/>
              <w:jc w:val="left"/>
            </w:pPr>
            <w:r>
              <w:rPr>
                <w:sz w:val="20"/>
              </w:rPr>
              <w:t xml:space="preserve">Vigente </w:t>
            </w:r>
          </w:p>
        </w:tc>
      </w:tr>
      <w:tr w:rsidR="0076001D">
        <w:trPr>
          <w:trHeight w:val="466"/>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MN-GT-12-02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Manual del soporte de primer nivel y administración del firewall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MN-GT-12-03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Manual del soporte del primer nivel y administración para la </w:t>
            </w:r>
            <w:proofErr w:type="spellStart"/>
            <w:r>
              <w:rPr>
                <w:sz w:val="20"/>
              </w:rPr>
              <w:t>hiperconvergencia</w:t>
            </w:r>
            <w:proofErr w:type="spellEnd"/>
            <w:r>
              <w:rPr>
                <w:sz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701"/>
        </w:trPr>
        <w:tc>
          <w:tcPr>
            <w:tcW w:w="152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46" w:firstLine="0"/>
              <w:jc w:val="left"/>
            </w:pPr>
            <w:r>
              <w:rPr>
                <w:sz w:val="20"/>
              </w:rPr>
              <w:t xml:space="preserve">MN-GT-12-04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42" w:firstLine="0"/>
              <w:jc w:val="center"/>
            </w:pPr>
            <w:r>
              <w:rPr>
                <w:sz w:val="20"/>
              </w:rPr>
              <w:t xml:space="preserve">Manual para la administración de usuarios que se vinculan a los sistemas de información o servicios tecnológicos del IDEP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7" w:firstLine="0"/>
              <w:jc w:val="center"/>
            </w:pPr>
            <w:r>
              <w:rPr>
                <w:sz w:val="20"/>
              </w:rPr>
              <w:t xml:space="preserve">9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MN-GT-12-05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344" w:firstLine="0"/>
            </w:pPr>
            <w:r>
              <w:rPr>
                <w:sz w:val="20"/>
              </w:rPr>
              <w:t xml:space="preserve">Manual para la administración del dominio Windows directorio activo y DNS del IDEP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701"/>
        </w:trPr>
        <w:tc>
          <w:tcPr>
            <w:tcW w:w="152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46" w:firstLine="0"/>
              <w:jc w:val="left"/>
            </w:pPr>
            <w:r>
              <w:rPr>
                <w:sz w:val="20"/>
              </w:rPr>
              <w:t xml:space="preserve">MN-GT-12-06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4" w:firstLine="0"/>
              <w:jc w:val="center"/>
            </w:pPr>
            <w:r>
              <w:rPr>
                <w:sz w:val="20"/>
              </w:rPr>
              <w:t xml:space="preserve">Manual del proceso actualización servidores </w:t>
            </w:r>
          </w:p>
          <w:p w:rsidR="0076001D" w:rsidRDefault="0034129A">
            <w:pPr>
              <w:spacing w:after="0" w:line="259" w:lineRule="auto"/>
              <w:ind w:left="0" w:firstLine="0"/>
              <w:jc w:val="center"/>
            </w:pPr>
            <w:r>
              <w:rPr>
                <w:sz w:val="20"/>
              </w:rPr>
              <w:t xml:space="preserve">Linux (parches del sistema operativo) de los servicios web, </w:t>
            </w:r>
            <w:proofErr w:type="spellStart"/>
            <w:r>
              <w:rPr>
                <w:sz w:val="20"/>
              </w:rPr>
              <w:t>micrositios</w:t>
            </w:r>
            <w:proofErr w:type="spellEnd"/>
            <w:r>
              <w:rPr>
                <w:sz w:val="20"/>
              </w:rPr>
              <w:t xml:space="preserve">, </w:t>
            </w:r>
            <w:proofErr w:type="spellStart"/>
            <w:r>
              <w:rPr>
                <w:sz w:val="20"/>
              </w:rPr>
              <w:t>Koha</w:t>
            </w:r>
            <w:proofErr w:type="spellEnd"/>
            <w:r>
              <w:rPr>
                <w:sz w:val="20"/>
              </w:rPr>
              <w:t xml:space="preserve"> y </w:t>
            </w:r>
            <w:proofErr w:type="spellStart"/>
            <w:r>
              <w:rPr>
                <w:sz w:val="20"/>
              </w:rPr>
              <w:t>ojs</w:t>
            </w:r>
            <w:proofErr w:type="spellEnd"/>
            <w:r>
              <w:rPr>
                <w:sz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59" w:firstLine="0"/>
              <w:jc w:val="center"/>
            </w:pPr>
            <w:r>
              <w:rPr>
                <w:sz w:val="20"/>
              </w:rPr>
              <w:t xml:space="preserve">Vigente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lastRenderedPageBreak/>
              <w:t xml:space="preserve">MN-GT-12-07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Manual para la administración de la red LAN del IDEP y políticas de seguridad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13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MN-GT-12-08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Manual para la gestión de back up del IDEP.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MN-GT-12-09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4" w:firstLine="0"/>
              <w:jc w:val="center"/>
            </w:pPr>
            <w:r>
              <w:rPr>
                <w:sz w:val="20"/>
              </w:rPr>
              <w:t xml:space="preserve">Manual para la administración y soporte de primer nivel del sistema de información humano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14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MN-GT-12-10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Manual para la gestión del servicio tecnológico misional OJS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14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MN-GT-12-11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Manual para la gestión del servicio tecnológico misional KOHA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14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MN-GT-12-12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color w:val="212121"/>
                <w:sz w:val="20"/>
              </w:rPr>
              <w:t>Manual para la administración y soporte de primer nivel del sistema de información GOOBI</w:t>
            </w:r>
            <w:r>
              <w:rPr>
                <w:sz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6" w:firstLine="0"/>
              <w:jc w:val="center"/>
            </w:pPr>
            <w:r>
              <w:rPr>
                <w:sz w:val="20"/>
              </w:rPr>
              <w:t xml:space="preserve">NO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20" w:firstLine="0"/>
              <w:jc w:val="center"/>
            </w:pPr>
            <w:r>
              <w:rPr>
                <w:sz w:val="20"/>
              </w:rPr>
              <w:t xml:space="preserve">14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r>
      <w:tr w:rsidR="0076001D">
        <w:trPr>
          <w:trHeight w:val="468"/>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MN-GT-12-13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pPr>
            <w:r>
              <w:rPr>
                <w:color w:val="212121"/>
                <w:sz w:val="20"/>
              </w:rPr>
              <w:t xml:space="preserve">Manual para la gestión del servicio tecnológico misional </w:t>
            </w:r>
            <w:proofErr w:type="spellStart"/>
            <w:r>
              <w:rPr>
                <w:color w:val="212121"/>
                <w:sz w:val="20"/>
              </w:rPr>
              <w:t>Dspace</w:t>
            </w:r>
            <w:proofErr w:type="spellEnd"/>
            <w:r>
              <w:rPr>
                <w:sz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6" w:firstLine="0"/>
              <w:jc w:val="center"/>
            </w:pPr>
            <w:r>
              <w:rPr>
                <w:sz w:val="20"/>
              </w:rPr>
              <w:t xml:space="preserve">NO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20" w:firstLine="0"/>
              <w:jc w:val="center"/>
            </w:pPr>
            <w:r>
              <w:rPr>
                <w:sz w:val="20"/>
              </w:rPr>
              <w:t xml:space="preserve">14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r>
      <w:tr w:rsidR="0076001D">
        <w:trPr>
          <w:trHeight w:val="470"/>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6" w:firstLine="0"/>
              <w:jc w:val="left"/>
            </w:pPr>
            <w:r>
              <w:rPr>
                <w:sz w:val="20"/>
              </w:rPr>
              <w:t xml:space="preserve">MN-GT-12-14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1" w:firstLine="0"/>
              <w:jc w:val="left"/>
            </w:pPr>
            <w:r>
              <w:rPr>
                <w:color w:val="212121"/>
                <w:sz w:val="20"/>
              </w:rPr>
              <w:t>Manual para la gestión y administración de los servidores físicos y virtuales del IDEP</w:t>
            </w:r>
            <w:r>
              <w:rPr>
                <w:sz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6" w:firstLine="0"/>
              <w:jc w:val="center"/>
            </w:pPr>
            <w:r>
              <w:rPr>
                <w:sz w:val="20"/>
              </w:rPr>
              <w:t xml:space="preserve">NO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r>
      <w:tr w:rsidR="0076001D">
        <w:trPr>
          <w:trHeight w:val="238"/>
        </w:trPr>
        <w:tc>
          <w:tcPr>
            <w:tcW w:w="152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6" w:firstLine="0"/>
              <w:jc w:val="center"/>
            </w:pPr>
            <w:r>
              <w:rPr>
                <w:sz w:val="20"/>
              </w:rPr>
              <w:t xml:space="preserve">IN-GT-12-01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7" w:firstLine="0"/>
              <w:jc w:val="center"/>
            </w:pPr>
            <w:r>
              <w:rPr>
                <w:sz w:val="20"/>
              </w:rPr>
              <w:t xml:space="preserve">Instructivo para la Asignación de Usuarios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7" w:firstLine="0"/>
              <w:jc w:val="center"/>
            </w:pPr>
            <w:r>
              <w:rPr>
                <w:sz w:val="20"/>
              </w:rPr>
              <w:t xml:space="preserve">9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60" w:firstLine="0"/>
              <w:jc w:val="left"/>
            </w:pPr>
            <w:r>
              <w:rPr>
                <w:sz w:val="20"/>
              </w:rPr>
              <w:t xml:space="preserve">Vigente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6" w:firstLine="0"/>
              <w:jc w:val="center"/>
            </w:pPr>
            <w:r>
              <w:rPr>
                <w:sz w:val="20"/>
              </w:rPr>
              <w:t xml:space="preserve">IN-GT-12-02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Instructivo para el almacenamiento de la información en carpetas compartidas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8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bl>
    <w:p w:rsidR="0076001D" w:rsidRDefault="0034129A">
      <w:pPr>
        <w:spacing w:after="0" w:line="259" w:lineRule="auto"/>
        <w:ind w:left="0" w:firstLine="0"/>
        <w:jc w:val="left"/>
      </w:pPr>
      <w:r>
        <w:rPr>
          <w:rFonts w:ascii="Times New Roman" w:eastAsia="Times New Roman" w:hAnsi="Times New Roman" w:cs="Times New Roman"/>
        </w:rPr>
        <w:t xml:space="preserve"> </w:t>
      </w:r>
    </w:p>
    <w:tbl>
      <w:tblPr>
        <w:tblStyle w:val="TableGrid"/>
        <w:tblW w:w="9333" w:type="dxa"/>
        <w:tblInd w:w="446" w:type="dxa"/>
        <w:tblCellMar>
          <w:top w:w="6" w:type="dxa"/>
          <w:left w:w="4" w:type="dxa"/>
          <w:right w:w="13" w:type="dxa"/>
        </w:tblCellMar>
        <w:tblLook w:val="04A0" w:firstRow="1" w:lastRow="0" w:firstColumn="1" w:lastColumn="0" w:noHBand="0" w:noVBand="1"/>
      </w:tblPr>
      <w:tblGrid>
        <w:gridCol w:w="1525"/>
        <w:gridCol w:w="4434"/>
        <w:gridCol w:w="1320"/>
        <w:gridCol w:w="1066"/>
        <w:gridCol w:w="988"/>
      </w:tblGrid>
      <w:tr w:rsidR="0076001D">
        <w:trPr>
          <w:trHeight w:val="698"/>
        </w:trPr>
        <w:tc>
          <w:tcPr>
            <w:tcW w:w="1525"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2" w:firstLine="0"/>
              <w:jc w:val="center"/>
            </w:pPr>
            <w:r>
              <w:rPr>
                <w:b/>
                <w:sz w:val="20"/>
              </w:rPr>
              <w:t xml:space="preserve">CÓDIGO </w:t>
            </w:r>
          </w:p>
        </w:tc>
        <w:tc>
          <w:tcPr>
            <w:tcW w:w="4434"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4" w:firstLine="0"/>
              <w:jc w:val="center"/>
            </w:pPr>
            <w:r>
              <w:rPr>
                <w:b/>
                <w:sz w:val="20"/>
              </w:rPr>
              <w:t xml:space="preserve">NOMBRE DEL DOCUMENTO </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71" w:firstLine="0"/>
              <w:jc w:val="left"/>
            </w:pPr>
            <w:r>
              <w:rPr>
                <w:b/>
                <w:sz w:val="20"/>
              </w:rPr>
              <w:t xml:space="preserve">Publicado </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73" w:firstLine="0"/>
              <w:jc w:val="left"/>
            </w:pPr>
            <w:r>
              <w:rPr>
                <w:b/>
                <w:sz w:val="20"/>
              </w:rPr>
              <w:t xml:space="preserve">MSPI </w:t>
            </w:r>
          </w:p>
          <w:p w:rsidR="0076001D" w:rsidRDefault="0034129A">
            <w:pPr>
              <w:spacing w:after="0" w:line="259" w:lineRule="auto"/>
              <w:ind w:left="73" w:firstLine="0"/>
              <w:jc w:val="left"/>
            </w:pPr>
            <w:r>
              <w:rPr>
                <w:b/>
                <w:sz w:val="20"/>
              </w:rPr>
              <w:t xml:space="preserve">Dominio/ </w:t>
            </w:r>
          </w:p>
          <w:p w:rsidR="0076001D" w:rsidRDefault="0034129A">
            <w:pPr>
              <w:spacing w:after="0" w:line="259" w:lineRule="auto"/>
              <w:ind w:left="73" w:firstLine="0"/>
              <w:jc w:val="left"/>
            </w:pPr>
            <w:r>
              <w:rPr>
                <w:b/>
                <w:sz w:val="20"/>
              </w:rPr>
              <w:t xml:space="preserve">Clausula </w:t>
            </w:r>
          </w:p>
        </w:tc>
        <w:tc>
          <w:tcPr>
            <w:tcW w:w="988" w:type="dxa"/>
            <w:tcBorders>
              <w:top w:val="single" w:sz="4" w:space="0" w:color="000000"/>
              <w:left w:val="single" w:sz="4" w:space="0" w:color="000000"/>
              <w:bottom w:val="single" w:sz="4" w:space="0" w:color="000000"/>
              <w:right w:val="single" w:sz="4" w:space="0" w:color="000000"/>
            </w:tcBorders>
            <w:shd w:val="clear" w:color="auto" w:fill="D9D9D9"/>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83" w:firstLine="0"/>
            </w:pPr>
            <w:r>
              <w:rPr>
                <w:b/>
                <w:sz w:val="20"/>
              </w:rPr>
              <w:t xml:space="preserve">ESTADO </w:t>
            </w:r>
          </w:p>
        </w:tc>
      </w:tr>
      <w:tr w:rsidR="0076001D">
        <w:trPr>
          <w:trHeight w:val="472"/>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1" w:firstLine="0"/>
              <w:jc w:val="center"/>
            </w:pPr>
            <w:r>
              <w:rPr>
                <w:sz w:val="20"/>
              </w:rPr>
              <w:t xml:space="preserve">IN-GT-12-03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Instructivo Para Realizar El </w:t>
            </w:r>
            <w:proofErr w:type="spellStart"/>
            <w:r>
              <w:rPr>
                <w:sz w:val="20"/>
              </w:rPr>
              <w:t>Backup</w:t>
            </w:r>
            <w:proofErr w:type="spellEnd"/>
            <w:r>
              <w:rPr>
                <w:sz w:val="20"/>
              </w:rPr>
              <w:t xml:space="preserve"> Del Servidor Hp Ml370 G4 - Base De Datos Oracle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1" w:firstLine="0"/>
              <w:jc w:val="center"/>
            </w:pPr>
            <w:r>
              <w:rPr>
                <w:sz w:val="20"/>
              </w:rPr>
              <w:t xml:space="preserve">IN-GT-12-04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Instructivo Para Restaurar </w:t>
            </w:r>
            <w:proofErr w:type="spellStart"/>
            <w:r>
              <w:rPr>
                <w:sz w:val="20"/>
              </w:rPr>
              <w:t>Backup</w:t>
            </w:r>
            <w:proofErr w:type="spellEnd"/>
            <w:r>
              <w:rPr>
                <w:sz w:val="20"/>
              </w:rPr>
              <w:t xml:space="preserve"> Maquina – Servidor G4- Pruebas Base De Datos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1" w:firstLine="0"/>
              <w:jc w:val="center"/>
            </w:pPr>
            <w:r>
              <w:rPr>
                <w:sz w:val="20"/>
              </w:rPr>
              <w:t xml:space="preserve">IN-GT-12-05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Instructivo Para Cambio De Contraseña De Ingreso Al Sistema De Información </w:t>
            </w:r>
            <w:proofErr w:type="spellStart"/>
            <w:r>
              <w:rPr>
                <w:sz w:val="20"/>
              </w:rPr>
              <w:t>Goobi</w:t>
            </w:r>
            <w:proofErr w:type="spellEnd"/>
            <w:r>
              <w:rPr>
                <w:sz w:val="2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9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1" w:firstLine="0"/>
              <w:jc w:val="center"/>
            </w:pPr>
            <w:r>
              <w:rPr>
                <w:sz w:val="20"/>
              </w:rPr>
              <w:t xml:space="preserve">IN-GT-12-06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Instructivo para cambio de contraseña Sistema Humano.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9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6"/>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1" w:firstLine="0"/>
              <w:jc w:val="center"/>
            </w:pPr>
            <w:r>
              <w:rPr>
                <w:sz w:val="20"/>
              </w:rPr>
              <w:t xml:space="preserve">IN-GT-12-07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Instructivo proceso de actualización sistemas </w:t>
            </w:r>
            <w:proofErr w:type="spellStart"/>
            <w:r>
              <w:rPr>
                <w:sz w:val="20"/>
              </w:rPr>
              <w:t>Goobi</w:t>
            </w:r>
            <w:proofErr w:type="spellEnd"/>
            <w:r>
              <w:rPr>
                <w:sz w:val="20"/>
              </w:rPr>
              <w:t xml:space="preserve"> y humano.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14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51" w:firstLine="0"/>
              <w:jc w:val="left"/>
            </w:pPr>
            <w:r>
              <w:rPr>
                <w:sz w:val="20"/>
              </w:rPr>
              <w:t xml:space="preserve">GU-GT-12-01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Guía para la gestión de incidentes de seguridad de la información.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16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68"/>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FT-GT-12-07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 w:firstLine="0"/>
              <w:jc w:val="center"/>
            </w:pPr>
            <w:r>
              <w:rPr>
                <w:sz w:val="20"/>
              </w:rPr>
              <w:t xml:space="preserve">Reporte de garantías de equipos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15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FT-GT-12-08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4" w:firstLine="0"/>
              <w:jc w:val="center"/>
            </w:pPr>
            <w:r>
              <w:rPr>
                <w:sz w:val="20"/>
              </w:rPr>
              <w:t xml:space="preserve">Reporte de fallas en aplicativos y/o servidores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17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FT-GT-12-09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Hoja de vida de computador - actualización de datos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8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FT-GT-12-12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 w:firstLine="0"/>
              <w:jc w:val="center"/>
            </w:pPr>
            <w:r>
              <w:rPr>
                <w:sz w:val="20"/>
              </w:rPr>
              <w:t xml:space="preserve">Hoja de vida de impresoras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8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40" w:firstLine="0"/>
              <w:jc w:val="left"/>
            </w:pPr>
            <w:r>
              <w:rPr>
                <w:sz w:val="20"/>
              </w:rPr>
              <w:t xml:space="preserve">Obsoleto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FT-GT-12-16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8" w:firstLine="0"/>
              <w:jc w:val="center"/>
            </w:pPr>
            <w:r>
              <w:rPr>
                <w:sz w:val="20"/>
              </w:rPr>
              <w:t xml:space="preserve">Control </w:t>
            </w:r>
            <w:proofErr w:type="spellStart"/>
            <w:r>
              <w:rPr>
                <w:sz w:val="20"/>
              </w:rPr>
              <w:t>backups</w:t>
            </w:r>
            <w:proofErr w:type="spellEnd"/>
            <w:r>
              <w:rPr>
                <w:sz w:val="20"/>
              </w:rPr>
              <w:t xml:space="preserve"> y revisión de servidores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12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60" w:firstLine="0"/>
              <w:jc w:val="left"/>
            </w:pPr>
            <w:r>
              <w:rPr>
                <w:sz w:val="20"/>
              </w:rPr>
              <w:t xml:space="preserve">Vigente </w:t>
            </w:r>
          </w:p>
        </w:tc>
      </w:tr>
      <w:tr w:rsidR="0076001D">
        <w:trPr>
          <w:trHeight w:val="476"/>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FT-GT-12-17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2" w:firstLine="0"/>
              <w:jc w:val="center"/>
            </w:pPr>
            <w:r>
              <w:rPr>
                <w:sz w:val="20"/>
              </w:rPr>
              <w:t xml:space="preserve">Reporte mantenimiento equipos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11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lastRenderedPageBreak/>
              <w:t xml:space="preserve">FT-GT-12-18 </w:t>
            </w:r>
          </w:p>
        </w:tc>
        <w:tc>
          <w:tcPr>
            <w:tcW w:w="443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0" w:firstLine="0"/>
              <w:jc w:val="center"/>
            </w:pPr>
            <w:r>
              <w:rPr>
                <w:sz w:val="20"/>
              </w:rPr>
              <w:t xml:space="preserve">Reporte mantenimiento impresoras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11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97" w:firstLine="0"/>
              <w:jc w:val="left"/>
            </w:pPr>
            <w:r>
              <w:rPr>
                <w:sz w:val="20"/>
              </w:rPr>
              <w:t xml:space="preserve">Obsoleto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FT-GT-12-19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2" w:firstLine="0"/>
              <w:jc w:val="center"/>
            </w:pPr>
            <w:r>
              <w:rPr>
                <w:sz w:val="20"/>
              </w:rPr>
              <w:t xml:space="preserve">Inventarios activos de información Tipo Software, Hardware y Servicios IDEP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8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60" w:firstLine="0"/>
              <w:jc w:val="left"/>
            </w:pPr>
            <w:r>
              <w:rPr>
                <w:sz w:val="20"/>
              </w:rPr>
              <w:t xml:space="preserve">Vigente </w:t>
            </w:r>
          </w:p>
        </w:tc>
      </w:tr>
      <w:tr w:rsidR="0076001D">
        <w:trPr>
          <w:trHeight w:val="473"/>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FT-GT-12-20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2" w:firstLine="0"/>
              <w:jc w:val="center"/>
            </w:pPr>
            <w:r>
              <w:rPr>
                <w:sz w:val="20"/>
              </w:rPr>
              <w:t xml:space="preserve">Compromiso de cumplimiento de las políticas </w:t>
            </w:r>
          </w:p>
          <w:p w:rsidR="0076001D" w:rsidRDefault="0034129A">
            <w:pPr>
              <w:spacing w:after="0" w:line="259" w:lineRule="auto"/>
              <w:ind w:left="15" w:firstLine="0"/>
              <w:jc w:val="center"/>
            </w:pPr>
            <w:r>
              <w:rPr>
                <w:sz w:val="20"/>
              </w:rPr>
              <w:t xml:space="preserve">TIC del IDEP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7" w:firstLine="0"/>
              <w:jc w:val="center"/>
            </w:pPr>
            <w:r>
              <w:rPr>
                <w:sz w:val="20"/>
              </w:rPr>
              <w:t xml:space="preserve">6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64" w:firstLine="0"/>
              <w:jc w:val="center"/>
            </w:pPr>
            <w:r>
              <w:rPr>
                <w:sz w:val="20"/>
              </w:rPr>
              <w:t xml:space="preserve">Vigente </w:t>
            </w:r>
          </w:p>
        </w:tc>
      </w:tr>
      <w:tr w:rsidR="0076001D">
        <w:trPr>
          <w:trHeight w:val="475"/>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FT-GT-12-21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center"/>
            </w:pPr>
            <w:r>
              <w:rPr>
                <w:sz w:val="20"/>
              </w:rPr>
              <w:t xml:space="preserve">Registro de incidentes de seguridad de la información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8" w:firstLine="0"/>
              <w:jc w:val="center"/>
            </w:pPr>
            <w:r>
              <w:rPr>
                <w:sz w:val="20"/>
              </w:rPr>
              <w:t xml:space="preserve">Si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16 </w:t>
            </w:r>
          </w:p>
        </w:tc>
        <w:tc>
          <w:tcPr>
            <w:tcW w:w="988"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59" w:firstLine="0"/>
              <w:jc w:val="center"/>
            </w:pPr>
            <w:r>
              <w:rPr>
                <w:sz w:val="20"/>
              </w:rPr>
              <w:t xml:space="preserve">Vigente </w:t>
            </w:r>
          </w:p>
        </w:tc>
      </w:tr>
      <w:tr w:rsidR="0076001D">
        <w:trPr>
          <w:trHeight w:val="468"/>
        </w:trPr>
        <w:tc>
          <w:tcPr>
            <w:tcW w:w="1525"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80" w:firstLine="0"/>
              <w:jc w:val="left"/>
            </w:pPr>
            <w:r>
              <w:rPr>
                <w:sz w:val="20"/>
              </w:rPr>
              <w:t xml:space="preserve">FT-GT-12-22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5" w:firstLine="0"/>
              <w:jc w:val="center"/>
            </w:pPr>
            <w:r>
              <w:rPr>
                <w:sz w:val="20"/>
              </w:rPr>
              <w:t xml:space="preserve">Levantamiento Necesidades SI. </w:t>
            </w:r>
          </w:p>
        </w:tc>
        <w:tc>
          <w:tcPr>
            <w:tcW w:w="132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6" w:firstLine="0"/>
              <w:jc w:val="center"/>
            </w:pPr>
            <w:r>
              <w:rPr>
                <w:sz w:val="20"/>
              </w:rPr>
              <w:t xml:space="preserve">NO </w:t>
            </w:r>
          </w:p>
        </w:tc>
        <w:tc>
          <w:tcPr>
            <w:tcW w:w="1066"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20" w:firstLine="0"/>
              <w:jc w:val="center"/>
            </w:pPr>
            <w:r>
              <w:rPr>
                <w:sz w:val="20"/>
              </w:rPr>
              <w:t xml:space="preserve">14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r>
      <w:tr w:rsidR="0076001D">
        <w:trPr>
          <w:trHeight w:val="704"/>
        </w:trPr>
        <w:tc>
          <w:tcPr>
            <w:tcW w:w="152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32" w:firstLine="0"/>
              <w:jc w:val="left"/>
            </w:pPr>
            <w:r>
              <w:rPr>
                <w:sz w:val="20"/>
              </w:rPr>
              <w:t xml:space="preserve">FT-GT-XX-XX </w:t>
            </w:r>
          </w:p>
        </w:tc>
        <w:tc>
          <w:tcPr>
            <w:tcW w:w="44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10" w:firstLine="0"/>
              <w:jc w:val="center"/>
            </w:pPr>
            <w:r>
              <w:rPr>
                <w:sz w:val="20"/>
              </w:rPr>
              <w:t xml:space="preserve">Especificación Requerimientos SI. </w:t>
            </w:r>
          </w:p>
        </w:tc>
        <w:tc>
          <w:tcPr>
            <w:tcW w:w="132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14"/>
              <w:jc w:val="center"/>
            </w:pPr>
            <w:r>
              <w:rPr>
                <w:sz w:val="20"/>
              </w:rPr>
              <w:t xml:space="preserve">NO, en proceso de construcción. </w:t>
            </w:r>
          </w:p>
        </w:tc>
        <w:tc>
          <w:tcPr>
            <w:tcW w:w="106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9"/>
              </w:rPr>
              <w:t xml:space="preserve"> </w:t>
            </w:r>
          </w:p>
          <w:p w:rsidR="0076001D" w:rsidRDefault="0034129A">
            <w:pPr>
              <w:spacing w:after="0" w:line="259" w:lineRule="auto"/>
              <w:ind w:left="20" w:firstLine="0"/>
              <w:jc w:val="center"/>
            </w:pPr>
            <w:r>
              <w:rPr>
                <w:sz w:val="20"/>
              </w:rPr>
              <w:t xml:space="preserve">14 </w:t>
            </w:r>
          </w:p>
        </w:tc>
        <w:tc>
          <w:tcPr>
            <w:tcW w:w="9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r>
    </w:tbl>
    <w:p w:rsidR="0076001D" w:rsidRDefault="0034129A">
      <w:pPr>
        <w:spacing w:after="19" w:line="259" w:lineRule="auto"/>
        <w:ind w:left="0" w:firstLine="0"/>
        <w:jc w:val="left"/>
      </w:pPr>
      <w:r>
        <w:rPr>
          <w:rFonts w:ascii="Times New Roman" w:eastAsia="Times New Roman" w:hAnsi="Times New Roman" w:cs="Times New Roman"/>
          <w:sz w:val="19"/>
        </w:rPr>
        <w:t xml:space="preserve"> </w:t>
      </w:r>
    </w:p>
    <w:p w:rsidR="0076001D" w:rsidRDefault="0034129A">
      <w:pPr>
        <w:spacing w:after="30"/>
        <w:ind w:left="914"/>
      </w:pPr>
      <w:r>
        <w:rPr>
          <w:noProof/>
          <w:lang w:val="es-ES" w:eastAsia="es-ES"/>
        </w:rPr>
        <w:drawing>
          <wp:inline distT="0" distB="0" distL="0" distR="0">
            <wp:extent cx="177800" cy="177800"/>
            <wp:effectExtent l="0" t="0" r="0" b="0"/>
            <wp:docPr id="13566" name="Picture 13566"/>
            <wp:cNvGraphicFramePr/>
            <a:graphic xmlns:a="http://schemas.openxmlformats.org/drawingml/2006/main">
              <a:graphicData uri="http://schemas.openxmlformats.org/drawingml/2006/picture">
                <pic:pic xmlns:pic="http://schemas.openxmlformats.org/drawingml/2006/picture">
                  <pic:nvPicPr>
                    <pic:cNvPr id="13566" name="Picture 13566"/>
                    <pic:cNvPicPr/>
                  </pic:nvPicPr>
                  <pic:blipFill>
                    <a:blip r:embed="rId137"/>
                    <a:stretch>
                      <a:fillRect/>
                    </a:stretch>
                  </pic:blipFill>
                  <pic:spPr>
                    <a:xfrm>
                      <a:off x="0" y="0"/>
                      <a:ext cx="177800" cy="177800"/>
                    </a:xfrm>
                    <a:prstGeom prst="rect">
                      <a:avLst/>
                    </a:prstGeom>
                  </pic:spPr>
                </pic:pic>
              </a:graphicData>
            </a:graphic>
          </wp:inline>
        </w:drawing>
      </w:r>
      <w:r>
        <w:rPr>
          <w:rFonts w:ascii="Times New Roman" w:eastAsia="Times New Roman" w:hAnsi="Times New Roman" w:cs="Times New Roman"/>
          <w:sz w:val="20"/>
        </w:rPr>
        <w:t xml:space="preserve">  </w:t>
      </w:r>
      <w:r>
        <w:t xml:space="preserve">Aunque los anteriores documentos no han sido articulados al MSPI, se destaca el avance en su construcción y en el aporte que significan a la gestión de conocimientos de la función tecnológica de la entidad. Se evidencia el interés y dedicación de los recursos del área por construir instrumentos. </w:t>
      </w:r>
    </w:p>
    <w:p w:rsidR="0076001D" w:rsidRDefault="0034129A">
      <w:pPr>
        <w:spacing w:after="0" w:line="259" w:lineRule="auto"/>
        <w:ind w:left="0" w:firstLine="0"/>
        <w:jc w:val="left"/>
      </w:pPr>
      <w:r>
        <w:rPr>
          <w:sz w:val="26"/>
        </w:rPr>
        <w:t xml:space="preserve"> </w:t>
      </w:r>
    </w:p>
    <w:p w:rsidR="0076001D" w:rsidRDefault="0034129A">
      <w:pPr>
        <w:spacing w:after="0" w:line="259" w:lineRule="auto"/>
        <w:ind w:left="542" w:firstLine="0"/>
        <w:jc w:val="left"/>
      </w:pPr>
      <w:r>
        <w:rPr>
          <w:noProof/>
          <w:lang w:val="es-ES" w:eastAsia="es-ES"/>
        </w:rPr>
        <w:drawing>
          <wp:inline distT="0" distB="0" distL="0" distR="0">
            <wp:extent cx="227546" cy="136525"/>
            <wp:effectExtent l="0" t="0" r="0" b="0"/>
            <wp:docPr id="12865" name="Picture 12865"/>
            <wp:cNvGraphicFramePr/>
            <a:graphic xmlns:a="http://schemas.openxmlformats.org/drawingml/2006/main">
              <a:graphicData uri="http://schemas.openxmlformats.org/drawingml/2006/picture">
                <pic:pic xmlns:pic="http://schemas.openxmlformats.org/drawingml/2006/picture">
                  <pic:nvPicPr>
                    <pic:cNvPr id="12865" name="Picture 12865"/>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ind w:left="713" w:firstLine="348"/>
      </w:pPr>
      <w:r>
        <w:t xml:space="preserve">En las inspecciones de seguridad realizadas por el auditor se identificaron algunas debilidades que se presentan en la plataforma tecnológica (ver 5.2) </w:t>
      </w:r>
    </w:p>
    <w:p w:rsidR="0076001D" w:rsidRDefault="0034129A">
      <w:pPr>
        <w:spacing w:after="158" w:line="259" w:lineRule="auto"/>
        <w:ind w:left="0" w:firstLine="0"/>
        <w:jc w:val="left"/>
      </w:pPr>
      <w:r>
        <w:rPr>
          <w:sz w:val="14"/>
        </w:rPr>
        <w:t xml:space="preserve"> </w:t>
      </w:r>
    </w:p>
    <w:p w:rsidR="0076001D" w:rsidRDefault="0034129A">
      <w:pPr>
        <w:tabs>
          <w:tab w:val="center" w:pos="870"/>
          <w:tab w:val="center" w:pos="5140"/>
        </w:tabs>
        <w:spacing w:after="31" w:line="259" w:lineRule="auto"/>
        <w:ind w:left="0" w:firstLine="0"/>
        <w:jc w:val="left"/>
      </w:pPr>
      <w:r>
        <w:rPr>
          <w:rFonts w:ascii="Calibri" w:eastAsia="Calibri" w:hAnsi="Calibri" w:cs="Calibri"/>
        </w:rPr>
        <w:tab/>
      </w:r>
      <w:r>
        <w:rPr>
          <w:b/>
        </w:rPr>
        <w:t xml:space="preserve">5.1.4.1 </w:t>
      </w:r>
      <w:r>
        <w:rPr>
          <w:b/>
        </w:rPr>
        <w:tab/>
        <w:t xml:space="preserve">Seguimiento a Recomendaciones 2019 </w:t>
      </w:r>
    </w:p>
    <w:p w:rsidR="0076001D" w:rsidRDefault="0034129A">
      <w:pPr>
        <w:spacing w:after="0" w:line="259" w:lineRule="auto"/>
        <w:ind w:left="0" w:firstLine="0"/>
        <w:jc w:val="left"/>
      </w:pPr>
      <w:r>
        <w:rPr>
          <w:b/>
          <w:sz w:val="27"/>
        </w:rPr>
        <w:t xml:space="preserve"> </w:t>
      </w:r>
    </w:p>
    <w:tbl>
      <w:tblPr>
        <w:tblStyle w:val="TableGrid"/>
        <w:tblW w:w="9617" w:type="dxa"/>
        <w:tblInd w:w="164" w:type="dxa"/>
        <w:tblCellMar>
          <w:top w:w="6" w:type="dxa"/>
        </w:tblCellMar>
        <w:tblLook w:val="04A0" w:firstRow="1" w:lastRow="0" w:firstColumn="1" w:lastColumn="0" w:noHBand="0" w:noVBand="1"/>
      </w:tblPr>
      <w:tblGrid>
        <w:gridCol w:w="623"/>
        <w:gridCol w:w="4732"/>
        <w:gridCol w:w="565"/>
        <w:gridCol w:w="109"/>
        <w:gridCol w:w="1586"/>
        <w:gridCol w:w="1841"/>
        <w:gridCol w:w="161"/>
      </w:tblGrid>
      <w:tr w:rsidR="0076001D">
        <w:trPr>
          <w:trHeight w:val="259"/>
        </w:trPr>
        <w:tc>
          <w:tcPr>
            <w:tcW w:w="623"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2" w:firstLine="0"/>
              <w:jc w:val="center"/>
            </w:pPr>
            <w:r>
              <w:rPr>
                <w:b/>
                <w:sz w:val="20"/>
              </w:rPr>
              <w:t xml:space="preserve">N°. </w:t>
            </w:r>
          </w:p>
        </w:tc>
        <w:tc>
          <w:tcPr>
            <w:tcW w:w="4733"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 w:firstLine="0"/>
              <w:jc w:val="center"/>
            </w:pPr>
            <w:r>
              <w:rPr>
                <w:b/>
                <w:sz w:val="20"/>
              </w:rPr>
              <w:t xml:space="preserve">Recomendación 2019 </w:t>
            </w:r>
          </w:p>
        </w:tc>
        <w:tc>
          <w:tcPr>
            <w:tcW w:w="56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3697" w:type="dxa"/>
            <w:gridSpan w:val="4"/>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6" w:firstLine="0"/>
              <w:jc w:val="center"/>
            </w:pPr>
            <w:r>
              <w:rPr>
                <w:b/>
                <w:sz w:val="20"/>
              </w:rPr>
              <w:t xml:space="preserve">Seguimiento 2020 </w:t>
            </w:r>
          </w:p>
        </w:tc>
      </w:tr>
      <w:tr w:rsidR="0076001D">
        <w:trPr>
          <w:trHeight w:val="4840"/>
        </w:trPr>
        <w:tc>
          <w:tcPr>
            <w:tcW w:w="623"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12" w:line="259" w:lineRule="auto"/>
              <w:ind w:left="5" w:firstLine="0"/>
              <w:jc w:val="left"/>
            </w:pPr>
            <w:r>
              <w:rPr>
                <w:b/>
                <w:sz w:val="17"/>
              </w:rPr>
              <w:t xml:space="preserve"> </w:t>
            </w:r>
          </w:p>
          <w:p w:rsidR="0076001D" w:rsidRDefault="0034129A">
            <w:pPr>
              <w:spacing w:after="0" w:line="259" w:lineRule="auto"/>
              <w:ind w:left="0" w:right="-25" w:firstLine="0"/>
              <w:jc w:val="right"/>
            </w:pPr>
            <w:r>
              <w:rPr>
                <w:sz w:val="20"/>
              </w:rPr>
              <w:t>1.</w:t>
            </w:r>
          </w:p>
        </w:tc>
        <w:tc>
          <w:tcPr>
            <w:tcW w:w="4733"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11" w:line="241" w:lineRule="auto"/>
              <w:ind w:left="114" w:firstLine="0"/>
            </w:pPr>
            <w:r>
              <w:rPr>
                <w:sz w:val="20"/>
              </w:rPr>
              <w:t xml:space="preserve">Continuar la implementación del modelo MSPI dando prioridad a: </w:t>
            </w:r>
          </w:p>
          <w:p w:rsidR="0076001D" w:rsidRDefault="0034129A">
            <w:pPr>
              <w:numPr>
                <w:ilvl w:val="0"/>
                <w:numId w:val="43"/>
              </w:numPr>
              <w:spacing w:after="0" w:line="259" w:lineRule="auto"/>
              <w:ind w:hanging="350"/>
            </w:pPr>
            <w:r>
              <w:rPr>
                <w:sz w:val="20"/>
              </w:rPr>
              <w:t xml:space="preserve">Optimización del inventario de activos </w:t>
            </w:r>
          </w:p>
          <w:p w:rsidR="0076001D" w:rsidRDefault="0034129A">
            <w:pPr>
              <w:numPr>
                <w:ilvl w:val="0"/>
                <w:numId w:val="43"/>
              </w:numPr>
              <w:spacing w:after="18" w:line="238" w:lineRule="auto"/>
              <w:ind w:hanging="350"/>
            </w:pPr>
            <w:r>
              <w:rPr>
                <w:sz w:val="20"/>
              </w:rPr>
              <w:t xml:space="preserve">Identificación y valoración de riesgos por objetivos de control </w:t>
            </w:r>
          </w:p>
          <w:p w:rsidR="0076001D" w:rsidRDefault="0034129A">
            <w:pPr>
              <w:numPr>
                <w:ilvl w:val="0"/>
                <w:numId w:val="43"/>
              </w:numPr>
              <w:spacing w:after="0" w:line="259" w:lineRule="auto"/>
              <w:ind w:hanging="350"/>
            </w:pPr>
            <w:r>
              <w:rPr>
                <w:sz w:val="20"/>
              </w:rPr>
              <w:t xml:space="preserve">Levantamiento de la declaración de </w:t>
            </w:r>
          </w:p>
          <w:p w:rsidR="0076001D" w:rsidRDefault="0034129A">
            <w:pPr>
              <w:spacing w:after="0" w:line="259" w:lineRule="auto"/>
              <w:ind w:left="834" w:firstLine="0"/>
              <w:jc w:val="left"/>
            </w:pPr>
            <w:r>
              <w:rPr>
                <w:sz w:val="20"/>
              </w:rPr>
              <w:t xml:space="preserve">aplicabilidad </w:t>
            </w:r>
          </w:p>
          <w:p w:rsidR="0076001D" w:rsidRDefault="0034129A">
            <w:pPr>
              <w:numPr>
                <w:ilvl w:val="0"/>
                <w:numId w:val="43"/>
              </w:numPr>
              <w:spacing w:after="18" w:line="239" w:lineRule="auto"/>
              <w:ind w:hanging="350"/>
            </w:pPr>
            <w:r>
              <w:rPr>
                <w:sz w:val="20"/>
              </w:rPr>
              <w:t xml:space="preserve">La elaboración del marco documental de políticas, procedimientos, instructivos y formatos alineados a los controles aplicables </w:t>
            </w:r>
          </w:p>
          <w:p w:rsidR="0076001D" w:rsidRDefault="0034129A">
            <w:pPr>
              <w:numPr>
                <w:ilvl w:val="0"/>
                <w:numId w:val="43"/>
              </w:numPr>
              <w:spacing w:after="12" w:line="245" w:lineRule="auto"/>
              <w:ind w:hanging="350"/>
            </w:pPr>
            <w:r>
              <w:rPr>
                <w:sz w:val="20"/>
              </w:rPr>
              <w:t xml:space="preserve">Fortalecer la política de seguridad de la información </w:t>
            </w:r>
            <w:r>
              <w:rPr>
                <w:rFonts w:ascii="Calibri" w:eastAsia="Calibri" w:hAnsi="Calibri" w:cs="Calibri"/>
              </w:rPr>
              <w:t xml:space="preserve">con </w:t>
            </w:r>
            <w:r>
              <w:rPr>
                <w:sz w:val="20"/>
              </w:rPr>
              <w:t xml:space="preserve">los elementos puntuales que direccionan la actuación de los funcionarios, contratistas y proveedores en el uso y responsabilidad sobre los activos de información y privilegios. </w:t>
            </w:r>
          </w:p>
          <w:p w:rsidR="0076001D" w:rsidRDefault="0034129A">
            <w:pPr>
              <w:numPr>
                <w:ilvl w:val="0"/>
                <w:numId w:val="43"/>
              </w:numPr>
              <w:spacing w:after="13" w:line="241" w:lineRule="auto"/>
              <w:ind w:hanging="350"/>
            </w:pPr>
            <w:r>
              <w:rPr>
                <w:sz w:val="20"/>
              </w:rPr>
              <w:t xml:space="preserve">Adelantar un programa de programa de concientización, educación y capacitación sobre la seguridad de la información (control </w:t>
            </w:r>
            <w:r>
              <w:rPr>
                <w:sz w:val="20"/>
              </w:rPr>
              <w:lastRenderedPageBreak/>
              <w:t xml:space="preserve">7.2.2 ISO 27002:2013) y entregar formalmente la política. </w:t>
            </w:r>
          </w:p>
          <w:p w:rsidR="0076001D" w:rsidRDefault="0034129A">
            <w:pPr>
              <w:numPr>
                <w:ilvl w:val="0"/>
                <w:numId w:val="43"/>
              </w:numPr>
              <w:spacing w:after="0" w:line="241" w:lineRule="auto"/>
              <w:ind w:hanging="350"/>
            </w:pPr>
            <w:r>
              <w:rPr>
                <w:sz w:val="20"/>
              </w:rPr>
              <w:t xml:space="preserve">Adelantar los planes de Implementación de los controles de seguridad de la </w:t>
            </w:r>
          </w:p>
          <w:p w:rsidR="0076001D" w:rsidRDefault="0034129A">
            <w:pPr>
              <w:spacing w:after="0" w:line="259" w:lineRule="auto"/>
              <w:ind w:left="0" w:right="172" w:firstLine="0"/>
              <w:jc w:val="center"/>
            </w:pPr>
            <w:r>
              <w:rPr>
                <w:sz w:val="20"/>
              </w:rPr>
              <w:t xml:space="preserve">información en la plataforma TIC </w:t>
            </w:r>
          </w:p>
          <w:p w:rsidR="0076001D" w:rsidRDefault="0034129A">
            <w:pPr>
              <w:spacing w:after="0" w:line="259" w:lineRule="auto"/>
              <w:ind w:left="114" w:right="111" w:firstLine="0"/>
            </w:pPr>
            <w:r>
              <w:rPr>
                <w:sz w:val="20"/>
              </w:rPr>
              <w:t xml:space="preserve">Se recomienda adelantar una inspección de análisis de vulnerabilidades una vez finalizada la implementación para verificar su eficacia. </w:t>
            </w:r>
          </w:p>
        </w:tc>
        <w:tc>
          <w:tcPr>
            <w:tcW w:w="565" w:type="dxa"/>
            <w:vMerge w:val="restart"/>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sz w:val="20"/>
              </w:rPr>
              <w:lastRenderedPageBreak/>
              <w:t xml:space="preserve"> </w:t>
            </w:r>
          </w:p>
          <w:p w:rsidR="0076001D" w:rsidRDefault="0034129A">
            <w:pPr>
              <w:spacing w:after="0" w:line="259" w:lineRule="auto"/>
              <w:ind w:left="5" w:firstLine="0"/>
              <w:jc w:val="left"/>
            </w:pPr>
            <w:r>
              <w:rPr>
                <w:b/>
                <w:sz w:val="20"/>
              </w:rPr>
              <w:t xml:space="preserve"> </w:t>
            </w:r>
          </w:p>
          <w:p w:rsidR="0076001D" w:rsidRDefault="0034129A">
            <w:pPr>
              <w:spacing w:after="0" w:line="259" w:lineRule="auto"/>
              <w:ind w:left="5" w:firstLine="0"/>
              <w:jc w:val="left"/>
            </w:pPr>
            <w:r>
              <w:rPr>
                <w:b/>
                <w:sz w:val="20"/>
              </w:rPr>
              <w:t xml:space="preserve"> </w:t>
            </w:r>
          </w:p>
          <w:p w:rsidR="0076001D" w:rsidRDefault="0034129A">
            <w:pPr>
              <w:spacing w:after="0" w:line="259" w:lineRule="auto"/>
              <w:ind w:left="5" w:firstLine="0"/>
              <w:jc w:val="left"/>
            </w:pPr>
            <w:r>
              <w:rPr>
                <w:b/>
                <w:sz w:val="20"/>
              </w:rPr>
              <w:t xml:space="preserve"> </w:t>
            </w:r>
          </w:p>
          <w:p w:rsidR="0076001D" w:rsidRDefault="0034129A">
            <w:pPr>
              <w:spacing w:after="0" w:line="259" w:lineRule="auto"/>
              <w:ind w:left="5" w:firstLine="0"/>
              <w:jc w:val="left"/>
            </w:pPr>
            <w:r>
              <w:rPr>
                <w:b/>
                <w:sz w:val="20"/>
              </w:rPr>
              <w:t xml:space="preserve"> </w:t>
            </w:r>
          </w:p>
          <w:p w:rsidR="0076001D" w:rsidRDefault="0034129A">
            <w:pPr>
              <w:spacing w:after="0" w:line="259" w:lineRule="auto"/>
              <w:ind w:left="5" w:firstLine="0"/>
              <w:jc w:val="left"/>
            </w:pPr>
            <w:r>
              <w:rPr>
                <w:b/>
                <w:sz w:val="20"/>
              </w:rPr>
              <w:t xml:space="preserve"> </w:t>
            </w:r>
          </w:p>
          <w:p w:rsidR="0076001D" w:rsidRDefault="0034129A">
            <w:pPr>
              <w:spacing w:after="0" w:line="259" w:lineRule="auto"/>
              <w:ind w:left="5" w:firstLine="0"/>
              <w:jc w:val="left"/>
            </w:pPr>
            <w:r>
              <w:rPr>
                <w:b/>
                <w:sz w:val="20"/>
              </w:rPr>
              <w:t xml:space="preserve"> </w:t>
            </w:r>
          </w:p>
          <w:p w:rsidR="0076001D" w:rsidRDefault="0034129A">
            <w:pPr>
              <w:spacing w:after="48" w:line="259" w:lineRule="auto"/>
              <w:ind w:left="5" w:firstLine="0"/>
              <w:jc w:val="left"/>
            </w:pPr>
            <w:r>
              <w:rPr>
                <w:b/>
                <w:sz w:val="20"/>
              </w:rPr>
              <w:t xml:space="preserve"> </w:t>
            </w:r>
          </w:p>
          <w:p w:rsidR="0076001D" w:rsidRDefault="0034129A">
            <w:pPr>
              <w:spacing w:after="0" w:line="259" w:lineRule="auto"/>
              <w:ind w:left="5" w:firstLine="0"/>
              <w:jc w:val="left"/>
            </w:pPr>
            <w:r>
              <w:rPr>
                <w:b/>
                <w:sz w:val="26"/>
              </w:rPr>
              <w:t xml:space="preserve"> </w:t>
            </w:r>
          </w:p>
          <w:p w:rsidR="0076001D" w:rsidRDefault="0034129A">
            <w:pPr>
              <w:spacing w:after="0" w:line="259" w:lineRule="auto"/>
              <w:ind w:left="41" w:firstLine="0"/>
              <w:jc w:val="left"/>
            </w:pPr>
            <w:r>
              <w:rPr>
                <w:rFonts w:ascii="Calibri" w:eastAsia="Calibri" w:hAnsi="Calibri" w:cs="Calibri"/>
                <w:noProof/>
                <w:lang w:val="es-ES" w:eastAsia="es-ES"/>
              </w:rPr>
              <mc:AlternateContent>
                <mc:Choice Requires="wpg">
                  <w:drawing>
                    <wp:inline distT="0" distB="0" distL="0" distR="0">
                      <wp:extent cx="304800" cy="209550"/>
                      <wp:effectExtent l="0" t="0" r="0" b="0"/>
                      <wp:docPr id="188812" name="Group 188812"/>
                      <wp:cNvGraphicFramePr/>
                      <a:graphic xmlns:a="http://schemas.openxmlformats.org/drawingml/2006/main">
                        <a:graphicData uri="http://schemas.microsoft.com/office/word/2010/wordprocessingGroup">
                          <wpg:wgp>
                            <wpg:cNvGrpSpPr/>
                            <wpg:grpSpPr>
                              <a:xfrm>
                                <a:off x="0" y="0"/>
                                <a:ext cx="304800" cy="209550"/>
                                <a:chOff x="0" y="0"/>
                                <a:chExt cx="304800" cy="209550"/>
                              </a:xfrm>
                            </wpg:grpSpPr>
                            <wps:wsp>
                              <wps:cNvPr id="14001" name="Shape 14001"/>
                              <wps:cNvSpPr/>
                              <wps:spPr>
                                <a:xfrm>
                                  <a:off x="0" y="0"/>
                                  <a:ext cx="304800" cy="209550"/>
                                </a:xfrm>
                                <a:custGeom>
                                  <a:avLst/>
                                  <a:gdLst/>
                                  <a:ahLst/>
                                  <a:cxnLst/>
                                  <a:rect l="0" t="0" r="0" b="0"/>
                                  <a:pathLst>
                                    <a:path w="304800" h="209550">
                                      <a:moveTo>
                                        <a:pt x="228600" y="0"/>
                                      </a:moveTo>
                                      <a:lnTo>
                                        <a:pt x="304800" y="104775"/>
                                      </a:lnTo>
                                      <a:lnTo>
                                        <a:pt x="228600" y="209550"/>
                                      </a:lnTo>
                                      <a:lnTo>
                                        <a:pt x="228600" y="156845"/>
                                      </a:lnTo>
                                      <a:lnTo>
                                        <a:pt x="0" y="156845"/>
                                      </a:lnTo>
                                      <a:lnTo>
                                        <a:pt x="0" y="52070"/>
                                      </a:lnTo>
                                      <a:lnTo>
                                        <a:pt x="228600" y="52070"/>
                                      </a:lnTo>
                                      <a:lnTo>
                                        <a:pt x="228600" y="0"/>
                                      </a:lnTo>
                                      <a:close/>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14002" name="Shape 14002"/>
                              <wps:cNvSpPr/>
                              <wps:spPr>
                                <a:xfrm>
                                  <a:off x="0" y="0"/>
                                  <a:ext cx="304800" cy="209550"/>
                                </a:xfrm>
                                <a:custGeom>
                                  <a:avLst/>
                                  <a:gdLst/>
                                  <a:ahLst/>
                                  <a:cxnLst/>
                                  <a:rect l="0" t="0" r="0" b="0"/>
                                  <a:pathLst>
                                    <a:path w="304800" h="209550">
                                      <a:moveTo>
                                        <a:pt x="228600" y="0"/>
                                      </a:moveTo>
                                      <a:lnTo>
                                        <a:pt x="228600" y="52070"/>
                                      </a:lnTo>
                                      <a:lnTo>
                                        <a:pt x="0" y="52070"/>
                                      </a:lnTo>
                                      <a:lnTo>
                                        <a:pt x="0" y="156845"/>
                                      </a:lnTo>
                                      <a:lnTo>
                                        <a:pt x="228600" y="156845"/>
                                      </a:lnTo>
                                      <a:lnTo>
                                        <a:pt x="228600" y="209550"/>
                                      </a:lnTo>
                                      <a:lnTo>
                                        <a:pt x="304800" y="104775"/>
                                      </a:lnTo>
                                      <a:lnTo>
                                        <a:pt x="2286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88812" style="width:24pt;height:16.5pt;mso-position-horizontal-relative:char;mso-position-vertical-relative:line" coordsize="3048,2095">
                      <v:shape id="Shape 14001" style="position:absolute;width:3048;height:2095;left:0;top:0;" coordsize="304800,209550" path="m228600,0l304800,104775l228600,209550l228600,156845l0,156845l0,52070l228600,52070l228600,0x">
                        <v:stroke weight="0pt" endcap="flat" joinstyle="miter" miterlimit="10" on="false" color="#000000" opacity="0"/>
                        <v:fill on="true" color="#ffd966"/>
                      </v:shape>
                      <v:shape id="Shape 14002" style="position:absolute;width:3048;height:2095;left:0;top:0;" coordsize="304800,209550" path="m228600,0l228600,52070l0,52070l0,156845l228600,156845l228600,209550l304800,104775l228600,0x">
                        <v:stroke weight="0.75pt" endcap="flat" joinstyle="round" on="true" color="#000000"/>
                        <v:fill on="false" color="#000000" opacity="0"/>
                      </v:shape>
                    </v:group>
                  </w:pict>
                </mc:Fallback>
              </mc:AlternateContent>
            </w:r>
          </w:p>
        </w:tc>
        <w:tc>
          <w:tcPr>
            <w:tcW w:w="3697" w:type="dxa"/>
            <w:gridSpan w:val="4"/>
            <w:tcBorders>
              <w:top w:val="single" w:sz="4" w:space="0" w:color="000000"/>
              <w:left w:val="single" w:sz="4" w:space="0" w:color="000000"/>
              <w:bottom w:val="single" w:sz="4" w:space="0" w:color="000000"/>
              <w:right w:val="single" w:sz="4" w:space="0" w:color="000000"/>
            </w:tcBorders>
          </w:tcPr>
          <w:p w:rsidR="0076001D" w:rsidRDefault="0034129A">
            <w:pPr>
              <w:spacing w:after="1" w:line="241" w:lineRule="auto"/>
              <w:ind w:left="112" w:right="103" w:firstLine="0"/>
            </w:pPr>
            <w:r>
              <w:rPr>
                <w:sz w:val="20"/>
              </w:rPr>
              <w:t xml:space="preserve">Se evidencian algunas mejoras en la construcción de instrumentos documentales y en el formato y valoración del inventario de activos. </w:t>
            </w:r>
          </w:p>
          <w:p w:rsidR="0076001D" w:rsidRDefault="0034129A">
            <w:pPr>
              <w:spacing w:after="0" w:line="259" w:lineRule="auto"/>
              <w:ind w:left="6" w:firstLine="0"/>
              <w:jc w:val="left"/>
            </w:pPr>
            <w:r>
              <w:rPr>
                <w:b/>
                <w:sz w:val="19"/>
              </w:rPr>
              <w:t xml:space="preserve"> </w:t>
            </w:r>
          </w:p>
          <w:p w:rsidR="0076001D" w:rsidRDefault="0034129A">
            <w:pPr>
              <w:spacing w:after="1" w:line="241" w:lineRule="auto"/>
              <w:ind w:left="112" w:right="100" w:firstLine="0"/>
            </w:pPr>
            <w:r>
              <w:rPr>
                <w:sz w:val="20"/>
              </w:rPr>
              <w:t xml:space="preserve">De igual manera, se han realizado acciones para socializar y formalizar el cumplimiento de políticas de seguridad. </w:t>
            </w:r>
          </w:p>
          <w:p w:rsidR="0076001D" w:rsidRDefault="0034129A">
            <w:pPr>
              <w:spacing w:after="0" w:line="259" w:lineRule="auto"/>
              <w:ind w:left="6" w:firstLine="0"/>
              <w:jc w:val="left"/>
            </w:pPr>
            <w:r>
              <w:rPr>
                <w:b/>
                <w:sz w:val="20"/>
              </w:rPr>
              <w:t xml:space="preserve"> </w:t>
            </w:r>
          </w:p>
          <w:p w:rsidR="0076001D" w:rsidRDefault="0034129A">
            <w:pPr>
              <w:spacing w:after="0" w:line="253" w:lineRule="auto"/>
              <w:ind w:left="-23" w:right="104" w:firstLine="134"/>
            </w:pPr>
            <w:r>
              <w:rPr>
                <w:sz w:val="20"/>
              </w:rPr>
              <w:t xml:space="preserve">Sin embargo, todavía no se evidencia la  existencia de un Plan de Implementación de MSPI detallado para lograr las 4 dimensiones. </w:t>
            </w:r>
          </w:p>
          <w:p w:rsidR="0076001D" w:rsidRDefault="0034129A">
            <w:pPr>
              <w:spacing w:after="0" w:line="259" w:lineRule="auto"/>
              <w:ind w:left="112" w:right="102" w:firstLine="0"/>
            </w:pPr>
            <w:r>
              <w:rPr>
                <w:sz w:val="20"/>
              </w:rPr>
              <w:t xml:space="preserve">Tener en cuenta que la implementación de los dominios no se realiza por orden de la norma, sino de acuerdo a los esfuerzos de su implementación, sensibilización y puesta en operación real. </w:t>
            </w:r>
          </w:p>
        </w:tc>
      </w:tr>
      <w:tr w:rsidR="0076001D">
        <w:trPr>
          <w:trHeight w:val="1162"/>
        </w:trPr>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109" w:type="dxa"/>
            <w:vMerge w:val="restart"/>
            <w:tcBorders>
              <w:top w:val="nil"/>
              <w:left w:val="single" w:sz="4" w:space="0" w:color="000000"/>
              <w:bottom w:val="single" w:sz="4" w:space="0" w:color="000000"/>
              <w:right w:val="single" w:sz="4" w:space="0" w:color="000000"/>
            </w:tcBorders>
          </w:tcPr>
          <w:p w:rsidR="0076001D" w:rsidRDefault="0034129A">
            <w:pPr>
              <w:spacing w:after="0" w:line="259" w:lineRule="auto"/>
              <w:ind w:left="6" w:firstLine="0"/>
              <w:jc w:val="left"/>
            </w:pPr>
            <w:r>
              <w:rPr>
                <w:rFonts w:ascii="Times New Roman" w:eastAsia="Times New Roman" w:hAnsi="Times New Roman" w:cs="Times New Roman"/>
                <w:sz w:val="18"/>
              </w:rPr>
              <w:t xml:space="preserve"> </w:t>
            </w:r>
          </w:p>
        </w:tc>
        <w:tc>
          <w:tcPr>
            <w:tcW w:w="158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5" w:right="52" w:firstLine="0"/>
              <w:jc w:val="left"/>
            </w:pPr>
            <w:r>
              <w:rPr>
                <w:sz w:val="20"/>
              </w:rPr>
              <w:t xml:space="preserve">Declaración de aplicabilidad para el alcance de instrumentos </w:t>
            </w:r>
          </w:p>
        </w:tc>
        <w:tc>
          <w:tcPr>
            <w:tcW w:w="1841"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0" w:lineRule="auto"/>
              <w:ind w:left="113" w:right="99" w:firstLine="0"/>
            </w:pPr>
            <w:r>
              <w:rPr>
                <w:sz w:val="20"/>
              </w:rPr>
              <w:t xml:space="preserve">Identificación de elementos de articulación con </w:t>
            </w:r>
          </w:p>
          <w:p w:rsidR="0076001D" w:rsidRDefault="0034129A">
            <w:pPr>
              <w:spacing w:after="0" w:line="259" w:lineRule="auto"/>
              <w:ind w:left="113" w:firstLine="0"/>
              <w:jc w:val="left"/>
            </w:pPr>
            <w:r>
              <w:rPr>
                <w:sz w:val="20"/>
              </w:rPr>
              <w:t xml:space="preserve">SIG y con el </w:t>
            </w:r>
          </w:p>
          <w:p w:rsidR="0076001D" w:rsidRDefault="0034129A">
            <w:pPr>
              <w:spacing w:after="0" w:line="259" w:lineRule="auto"/>
              <w:ind w:left="113" w:firstLine="0"/>
              <w:jc w:val="left"/>
            </w:pPr>
            <w:r>
              <w:rPr>
                <w:sz w:val="20"/>
              </w:rPr>
              <w:t xml:space="preserve">MRAE </w:t>
            </w:r>
          </w:p>
        </w:tc>
        <w:tc>
          <w:tcPr>
            <w:tcW w:w="159" w:type="dxa"/>
            <w:vMerge w:val="restart"/>
            <w:tcBorders>
              <w:top w:val="nil"/>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r>
      <w:tr w:rsidR="0076001D">
        <w:trPr>
          <w:trHeight w:val="707"/>
        </w:trPr>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1586" w:type="dxa"/>
            <w:tcBorders>
              <w:top w:val="single" w:sz="4" w:space="0" w:color="000000"/>
              <w:left w:val="single" w:sz="4" w:space="0" w:color="000000"/>
              <w:bottom w:val="single" w:sz="8" w:space="0" w:color="000000"/>
              <w:right w:val="single" w:sz="4" w:space="0" w:color="000000"/>
            </w:tcBorders>
          </w:tcPr>
          <w:p w:rsidR="0076001D" w:rsidRDefault="0034129A">
            <w:pPr>
              <w:spacing w:after="0" w:line="259" w:lineRule="auto"/>
              <w:ind w:left="115" w:right="103" w:firstLine="0"/>
            </w:pPr>
            <w:r>
              <w:rPr>
                <w:sz w:val="20"/>
              </w:rPr>
              <w:t xml:space="preserve">Gestión del cambio y del conocimiento </w:t>
            </w:r>
          </w:p>
        </w:tc>
        <w:tc>
          <w:tcPr>
            <w:tcW w:w="1841" w:type="dxa"/>
            <w:tcBorders>
              <w:top w:val="single" w:sz="4" w:space="0" w:color="000000"/>
              <w:left w:val="single" w:sz="4" w:space="0" w:color="000000"/>
              <w:bottom w:val="single" w:sz="8" w:space="0" w:color="000000"/>
              <w:right w:val="single" w:sz="4" w:space="0" w:color="000000"/>
            </w:tcBorders>
          </w:tcPr>
          <w:p w:rsidR="0076001D" w:rsidRDefault="0034129A">
            <w:pPr>
              <w:spacing w:after="0" w:line="259" w:lineRule="auto"/>
              <w:ind w:left="113" w:firstLine="0"/>
              <w:jc w:val="left"/>
            </w:pPr>
            <w:r>
              <w:rPr>
                <w:sz w:val="20"/>
              </w:rPr>
              <w:t xml:space="preserve">Implementación tecnológica de los controles </w:t>
            </w:r>
          </w:p>
        </w:tc>
        <w:tc>
          <w:tcPr>
            <w:tcW w:w="0" w:type="auto"/>
            <w:vMerge/>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bl>
    <w:p w:rsidR="0076001D" w:rsidRDefault="0034129A">
      <w:pPr>
        <w:spacing w:after="0" w:line="259" w:lineRule="auto"/>
        <w:ind w:left="0" w:firstLine="0"/>
        <w:jc w:val="left"/>
      </w:pPr>
      <w:r>
        <w:rPr>
          <w:b/>
          <w:sz w:val="24"/>
        </w:rPr>
        <w:t xml:space="preserve"> </w:t>
      </w:r>
    </w:p>
    <w:p w:rsidR="0076001D" w:rsidRDefault="0034129A">
      <w:pPr>
        <w:spacing w:after="0" w:line="259" w:lineRule="auto"/>
        <w:ind w:left="0" w:firstLine="0"/>
        <w:jc w:val="left"/>
      </w:pPr>
      <w:r>
        <w:rPr>
          <w:b/>
          <w:sz w:val="23"/>
        </w:rPr>
        <w:t xml:space="preserve"> </w:t>
      </w:r>
    </w:p>
    <w:p w:rsidR="0076001D" w:rsidRDefault="0034129A">
      <w:pPr>
        <w:pStyle w:val="Ttulo4"/>
        <w:tabs>
          <w:tab w:val="center" w:pos="870"/>
          <w:tab w:val="center" w:pos="4780"/>
        </w:tabs>
        <w:spacing w:after="35"/>
        <w:ind w:left="0" w:firstLine="0"/>
      </w:pPr>
      <w:r>
        <w:rPr>
          <w:rFonts w:ascii="Calibri" w:eastAsia="Calibri" w:hAnsi="Calibri" w:cs="Calibri"/>
          <w:b w:val="0"/>
        </w:rPr>
        <w:tab/>
      </w:r>
      <w:r>
        <w:t xml:space="preserve">5.1.4.2 </w:t>
      </w:r>
      <w:r>
        <w:tab/>
        <w:t xml:space="preserve">Nuevas Recomendaciones 2020 </w:t>
      </w:r>
    </w:p>
    <w:p w:rsidR="0076001D" w:rsidRDefault="0034129A">
      <w:pPr>
        <w:spacing w:after="0" w:line="259" w:lineRule="auto"/>
        <w:ind w:left="0" w:firstLine="0"/>
        <w:jc w:val="left"/>
      </w:pPr>
      <w:r>
        <w:rPr>
          <w:b/>
          <w:sz w:val="27"/>
        </w:rPr>
        <w:t xml:space="preserve"> </w:t>
      </w:r>
    </w:p>
    <w:tbl>
      <w:tblPr>
        <w:tblStyle w:val="TableGrid"/>
        <w:tblW w:w="9619" w:type="dxa"/>
        <w:tblInd w:w="164" w:type="dxa"/>
        <w:tblCellMar>
          <w:top w:w="7" w:type="dxa"/>
          <w:left w:w="5" w:type="dxa"/>
          <w:right w:w="68" w:type="dxa"/>
        </w:tblCellMar>
        <w:tblLook w:val="04A0" w:firstRow="1" w:lastRow="0" w:firstColumn="1" w:lastColumn="0" w:noHBand="0" w:noVBand="1"/>
      </w:tblPr>
      <w:tblGrid>
        <w:gridCol w:w="532"/>
        <w:gridCol w:w="9087"/>
      </w:tblGrid>
      <w:tr w:rsidR="0076001D">
        <w:trPr>
          <w:trHeight w:val="256"/>
        </w:trPr>
        <w:tc>
          <w:tcPr>
            <w:tcW w:w="53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2" w:firstLine="0"/>
              <w:jc w:val="left"/>
            </w:pPr>
            <w:r>
              <w:rPr>
                <w:b/>
                <w:sz w:val="20"/>
              </w:rPr>
              <w:t xml:space="preserve">N°. </w:t>
            </w:r>
          </w:p>
        </w:tc>
        <w:tc>
          <w:tcPr>
            <w:tcW w:w="9088"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67" w:firstLine="0"/>
              <w:jc w:val="center"/>
            </w:pPr>
            <w:r>
              <w:rPr>
                <w:b/>
                <w:sz w:val="20"/>
              </w:rPr>
              <w:t xml:space="preserve">Recomendación 2020 </w:t>
            </w:r>
          </w:p>
        </w:tc>
      </w:tr>
      <w:tr w:rsidR="0076001D">
        <w:trPr>
          <w:trHeight w:val="277"/>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firstLine="0"/>
              <w:jc w:val="left"/>
            </w:pPr>
            <w:r>
              <w:rPr>
                <w:sz w:val="20"/>
              </w:rPr>
              <w:t xml:space="preserve">1. </w:t>
            </w:r>
          </w:p>
        </w:tc>
        <w:tc>
          <w:tcPr>
            <w:tcW w:w="90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9" w:firstLine="0"/>
              <w:jc w:val="left"/>
            </w:pPr>
            <w:proofErr w:type="spellStart"/>
            <w:r>
              <w:rPr>
                <w:sz w:val="20"/>
              </w:rPr>
              <w:t>Atende</w:t>
            </w:r>
            <w:proofErr w:type="spellEnd"/>
            <w:r>
              <w:rPr>
                <w:sz w:val="20"/>
              </w:rPr>
              <w:t xml:space="preserve"> las recomendaciones 2019, que se reportan en rojo o amarillo. </w:t>
            </w:r>
          </w:p>
        </w:tc>
      </w:tr>
      <w:tr w:rsidR="0076001D">
        <w:trPr>
          <w:trHeight w:val="701"/>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0"/>
              </w:rPr>
              <w:t xml:space="preserve"> </w:t>
            </w:r>
          </w:p>
          <w:p w:rsidR="0076001D" w:rsidRDefault="0034129A">
            <w:pPr>
              <w:spacing w:after="0" w:line="259" w:lineRule="auto"/>
              <w:ind w:left="106" w:firstLine="0"/>
              <w:jc w:val="left"/>
            </w:pPr>
            <w:r>
              <w:rPr>
                <w:sz w:val="20"/>
              </w:rPr>
              <w:t xml:space="preserve">2. </w:t>
            </w:r>
          </w:p>
        </w:tc>
        <w:tc>
          <w:tcPr>
            <w:tcW w:w="908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9" w:right="33" w:firstLine="0"/>
              <w:jc w:val="left"/>
            </w:pPr>
            <w:r>
              <w:rPr>
                <w:sz w:val="20"/>
              </w:rPr>
              <w:t xml:space="preserve">En el marco de atención del MSPI, al elaborar la declaración de aplicabilidad, definir el inventario de documentos que deben ser elaborados para atender los controles de la norma que sean aplicables. A continuación, se adjunta una relación resumen de los controles ISO 27002:2013 </w:t>
            </w:r>
          </w:p>
        </w:tc>
      </w:tr>
    </w:tbl>
    <w:p w:rsidR="0076001D" w:rsidRDefault="0034129A">
      <w:pPr>
        <w:spacing w:after="0" w:line="249" w:lineRule="auto"/>
        <w:ind w:left="0" w:right="9610" w:firstLine="0"/>
        <w:jc w:val="left"/>
      </w:pPr>
      <w:r>
        <w:rPr>
          <w:b/>
          <w:sz w:val="24"/>
        </w:rPr>
        <w:t xml:space="preserve"> </w:t>
      </w:r>
      <w:r>
        <w:rPr>
          <w:b/>
          <w:sz w:val="20"/>
        </w:rPr>
        <w:t xml:space="preserve"> </w:t>
      </w:r>
    </w:p>
    <w:p w:rsidR="0076001D" w:rsidRDefault="0034129A">
      <w:pPr>
        <w:spacing w:after="0" w:line="259" w:lineRule="auto"/>
        <w:ind w:left="543" w:firstLine="0"/>
        <w:jc w:val="left"/>
      </w:pPr>
      <w:r>
        <w:rPr>
          <w:b/>
          <w:sz w:val="16"/>
        </w:rPr>
        <w:t xml:space="preserve">ISO/IEC 27002:2013. 14 DOMINIOS, 35 OBJETIVOS DE CONTROL Y 114 CONTROLES </w:t>
      </w:r>
    </w:p>
    <w:p w:rsidR="0076001D" w:rsidRDefault="0076001D">
      <w:pPr>
        <w:sectPr w:rsidR="0076001D">
          <w:headerReference w:type="even" r:id="rId138"/>
          <w:headerReference w:type="default" r:id="rId139"/>
          <w:footerReference w:type="even" r:id="rId140"/>
          <w:footerReference w:type="default" r:id="rId141"/>
          <w:headerReference w:type="first" r:id="rId142"/>
          <w:footerReference w:type="first" r:id="rId143"/>
          <w:pgSz w:w="12240" w:h="15840"/>
          <w:pgMar w:top="1950" w:right="1404" w:bottom="1553" w:left="1159" w:header="540" w:footer="392" w:gutter="0"/>
          <w:cols w:space="720"/>
        </w:sectPr>
      </w:pPr>
    </w:p>
    <w:p w:rsidR="0076001D" w:rsidRDefault="0034129A">
      <w:pPr>
        <w:spacing w:after="0" w:line="259" w:lineRule="auto"/>
        <w:ind w:left="0" w:firstLine="0"/>
      </w:pPr>
      <w:r>
        <w:rPr>
          <w:b/>
          <w:sz w:val="16"/>
        </w:rPr>
        <w:t xml:space="preserve"> </w:t>
      </w:r>
      <w:r>
        <w:rPr>
          <w:b/>
          <w:sz w:val="16"/>
        </w:rPr>
        <w:tab/>
      </w:r>
      <w:r>
        <w:rPr>
          <w:sz w:val="16"/>
        </w:rPr>
        <w:t xml:space="preserve"> </w:t>
      </w:r>
    </w:p>
    <w:p w:rsidR="0076001D" w:rsidRDefault="0034129A">
      <w:pPr>
        <w:numPr>
          <w:ilvl w:val="0"/>
          <w:numId w:val="15"/>
        </w:numPr>
        <w:spacing w:line="247" w:lineRule="auto"/>
        <w:ind w:hanging="269"/>
        <w:jc w:val="left"/>
      </w:pPr>
      <w:r>
        <w:rPr>
          <w:rFonts w:ascii="Calibri" w:eastAsia="Calibri" w:hAnsi="Calibri" w:cs="Calibri"/>
          <w:noProof/>
          <w:lang w:val="es-ES" w:eastAsia="es-ES"/>
        </w:rPr>
        <mc:AlternateContent>
          <mc:Choice Requires="wpg">
            <w:drawing>
              <wp:anchor distT="0" distB="0" distL="114300" distR="114300" simplePos="0" relativeHeight="251671552" behindDoc="0" locked="0" layoutInCell="1" allowOverlap="1">
                <wp:simplePos x="0" y="0"/>
                <wp:positionH relativeFrom="column">
                  <wp:posOffset>2245233</wp:posOffset>
                </wp:positionH>
                <wp:positionV relativeFrom="paragraph">
                  <wp:posOffset>-3095</wp:posOffset>
                </wp:positionV>
                <wp:extent cx="9144" cy="818541"/>
                <wp:effectExtent l="0" t="0" r="0" b="0"/>
                <wp:wrapSquare wrapText="bothSides"/>
                <wp:docPr id="194598" name="Group 194598"/>
                <wp:cNvGraphicFramePr/>
                <a:graphic xmlns:a="http://schemas.openxmlformats.org/drawingml/2006/main">
                  <a:graphicData uri="http://schemas.microsoft.com/office/word/2010/wordprocessingGroup">
                    <wpg:wgp>
                      <wpg:cNvGrpSpPr/>
                      <wpg:grpSpPr>
                        <a:xfrm>
                          <a:off x="0" y="0"/>
                          <a:ext cx="9144" cy="818541"/>
                          <a:chOff x="0" y="0"/>
                          <a:chExt cx="9144" cy="818541"/>
                        </a:xfrm>
                      </wpg:grpSpPr>
                      <wps:wsp>
                        <wps:cNvPr id="14003" name="Shape 14003"/>
                        <wps:cNvSpPr/>
                        <wps:spPr>
                          <a:xfrm>
                            <a:off x="0" y="0"/>
                            <a:ext cx="0" cy="818541"/>
                          </a:xfrm>
                          <a:custGeom>
                            <a:avLst/>
                            <a:gdLst/>
                            <a:ahLst/>
                            <a:cxnLst/>
                            <a:rect l="0" t="0" r="0" b="0"/>
                            <a:pathLst>
                              <a:path h="818541">
                                <a:moveTo>
                                  <a:pt x="0" y="0"/>
                                </a:moveTo>
                                <a:lnTo>
                                  <a:pt x="0" y="818541"/>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94598" style="width:0.72pt;height:64.452pt;position:absolute;mso-position-horizontal-relative:text;mso-position-horizontal:absolute;margin-left:176.79pt;mso-position-vertical-relative:text;margin-top:-0.243774pt;" coordsize="91,8185">
                <v:shape id="Shape 14003" style="position:absolute;width:0;height:8185;left:0;top:0;" coordsize="0,818541" path="m0,0l0,818541">
                  <v:stroke weight="0.72pt" endcap="flat" joinstyle="round" on="true" color="#000000"/>
                  <v:fill on="false" color="#000000" opacity="0"/>
                </v:shape>
                <w10:wrap type="square"/>
              </v:group>
            </w:pict>
          </mc:Fallback>
        </mc:AlternateContent>
      </w:r>
      <w:r>
        <w:rPr>
          <w:b/>
          <w:color w:val="0000FF"/>
          <w:sz w:val="16"/>
        </w:rPr>
        <w:t>POLÍTICAS DE SEGURIDAD.</w:t>
      </w:r>
      <w:r>
        <w:rPr>
          <w:b/>
          <w:sz w:val="16"/>
        </w:rPr>
        <w:t xml:space="preserve"> </w:t>
      </w:r>
      <w:r>
        <w:rPr>
          <w:color w:val="FF0000"/>
          <w:sz w:val="16"/>
        </w:rPr>
        <w:t>5.1 Directrices de la Dirección en seguridad de la información.</w:t>
      </w:r>
      <w:r>
        <w:rPr>
          <w:sz w:val="16"/>
        </w:rPr>
        <w:t xml:space="preserve"> </w:t>
      </w:r>
    </w:p>
    <w:p w:rsidR="0076001D" w:rsidRDefault="0034129A">
      <w:pPr>
        <w:spacing w:line="248" w:lineRule="auto"/>
        <w:ind w:left="551" w:right="33" w:hanging="8"/>
        <w:jc w:val="left"/>
      </w:pPr>
      <w:r>
        <w:rPr>
          <w:color w:val="4D4D4D"/>
          <w:sz w:val="16"/>
        </w:rPr>
        <w:t>5.1.1 Conjunto de políticas para la seguridad de la información.</w:t>
      </w:r>
      <w:r>
        <w:rPr>
          <w:sz w:val="16"/>
        </w:rPr>
        <w:t xml:space="preserve"> </w:t>
      </w:r>
    </w:p>
    <w:p w:rsidR="0076001D" w:rsidRDefault="0034129A">
      <w:pPr>
        <w:spacing w:line="248" w:lineRule="auto"/>
        <w:ind w:left="551" w:right="33" w:hanging="8"/>
        <w:jc w:val="left"/>
      </w:pPr>
      <w:r>
        <w:rPr>
          <w:color w:val="4D4D4D"/>
          <w:sz w:val="16"/>
        </w:rPr>
        <w:t>5.1.2 Revisión de las políticas para la seguridad de la información.</w:t>
      </w:r>
      <w:r>
        <w:rPr>
          <w:sz w:val="16"/>
        </w:rPr>
        <w:t xml:space="preserve"> </w:t>
      </w:r>
    </w:p>
    <w:p w:rsidR="0076001D" w:rsidRDefault="0034129A">
      <w:pPr>
        <w:spacing w:after="0" w:line="259" w:lineRule="auto"/>
        <w:ind w:left="0" w:firstLine="0"/>
        <w:jc w:val="right"/>
      </w:pPr>
      <w:r>
        <w:rPr>
          <w:sz w:val="16"/>
        </w:rPr>
        <w:t xml:space="preserve"> </w:t>
      </w:r>
    </w:p>
    <w:p w:rsidR="0076001D" w:rsidRDefault="0034129A">
      <w:pPr>
        <w:numPr>
          <w:ilvl w:val="0"/>
          <w:numId w:val="15"/>
        </w:numPr>
        <w:spacing w:line="248" w:lineRule="auto"/>
        <w:ind w:hanging="269"/>
        <w:jc w:val="left"/>
      </w:pPr>
      <w:r>
        <w:rPr>
          <w:rFonts w:ascii="Calibri" w:eastAsia="Calibri" w:hAnsi="Calibri" w:cs="Calibri"/>
          <w:noProof/>
          <w:lang w:val="es-ES" w:eastAsia="es-ES"/>
        </w:rPr>
        <mc:AlternateContent>
          <mc:Choice Requires="wpg">
            <w:drawing>
              <wp:anchor distT="0" distB="0" distL="114300" distR="114300" simplePos="0" relativeHeight="251672576" behindDoc="0" locked="0" layoutInCell="1" allowOverlap="1">
                <wp:simplePos x="0" y="0"/>
                <wp:positionH relativeFrom="column">
                  <wp:posOffset>1900555</wp:posOffset>
                </wp:positionH>
                <wp:positionV relativeFrom="paragraph">
                  <wp:posOffset>-3984</wp:posOffset>
                </wp:positionV>
                <wp:extent cx="9144" cy="817905"/>
                <wp:effectExtent l="0" t="0" r="0" b="0"/>
                <wp:wrapSquare wrapText="bothSides"/>
                <wp:docPr id="194599" name="Group 194599"/>
                <wp:cNvGraphicFramePr/>
                <a:graphic xmlns:a="http://schemas.openxmlformats.org/drawingml/2006/main">
                  <a:graphicData uri="http://schemas.microsoft.com/office/word/2010/wordprocessingGroup">
                    <wpg:wgp>
                      <wpg:cNvGrpSpPr/>
                      <wpg:grpSpPr>
                        <a:xfrm>
                          <a:off x="0" y="0"/>
                          <a:ext cx="9144" cy="817905"/>
                          <a:chOff x="0" y="0"/>
                          <a:chExt cx="9144" cy="817905"/>
                        </a:xfrm>
                      </wpg:grpSpPr>
                      <wps:wsp>
                        <wps:cNvPr id="14004" name="Shape 14004"/>
                        <wps:cNvSpPr/>
                        <wps:spPr>
                          <a:xfrm>
                            <a:off x="0" y="0"/>
                            <a:ext cx="0" cy="817905"/>
                          </a:xfrm>
                          <a:custGeom>
                            <a:avLst/>
                            <a:gdLst/>
                            <a:ahLst/>
                            <a:cxnLst/>
                            <a:rect l="0" t="0" r="0" b="0"/>
                            <a:pathLst>
                              <a:path h="817905">
                                <a:moveTo>
                                  <a:pt x="0" y="0"/>
                                </a:moveTo>
                                <a:lnTo>
                                  <a:pt x="0" y="81790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94599" style="width:0.72pt;height:64.402pt;position:absolute;mso-position-horizontal-relative:text;mso-position-horizontal:absolute;margin-left:149.65pt;mso-position-vertical-relative:text;margin-top:-0.313782pt;" coordsize="91,8179">
                <v:shape id="Shape 14004" style="position:absolute;width:0;height:8179;left:0;top:0;" coordsize="0,817905" path="m0,0l0,817905">
                  <v:stroke weight="0.72pt" endcap="flat" joinstyle="round" on="true" color="#000000"/>
                  <v:fill on="false" color="#000000" opacity="0"/>
                </v:shape>
                <w10:wrap type="square"/>
              </v:group>
            </w:pict>
          </mc:Fallback>
        </mc:AlternateContent>
      </w:r>
      <w:r>
        <w:rPr>
          <w:b/>
          <w:color w:val="0000FF"/>
          <w:sz w:val="16"/>
        </w:rPr>
        <w:t xml:space="preserve">ASPECTOS ORGANIZATIVOS DE </w:t>
      </w:r>
    </w:p>
    <w:p w:rsidR="0076001D" w:rsidRDefault="0034129A">
      <w:pPr>
        <w:spacing w:line="248" w:lineRule="auto"/>
        <w:ind w:left="-3" w:hanging="10"/>
        <w:jc w:val="left"/>
      </w:pPr>
      <w:r>
        <w:rPr>
          <w:b/>
          <w:color w:val="0000FF"/>
          <w:sz w:val="16"/>
        </w:rPr>
        <w:t>LA SEGURIDAD DE LA INFORMAC.</w:t>
      </w:r>
      <w:r>
        <w:rPr>
          <w:b/>
          <w:sz w:val="16"/>
        </w:rPr>
        <w:t xml:space="preserve"> </w:t>
      </w:r>
    </w:p>
    <w:p w:rsidR="0076001D" w:rsidRDefault="0034129A">
      <w:pPr>
        <w:numPr>
          <w:ilvl w:val="1"/>
          <w:numId w:val="15"/>
        </w:numPr>
        <w:spacing w:line="247" w:lineRule="auto"/>
        <w:ind w:right="15" w:hanging="358"/>
        <w:jc w:val="left"/>
      </w:pPr>
      <w:r>
        <w:rPr>
          <w:color w:val="FF0000"/>
          <w:sz w:val="16"/>
        </w:rPr>
        <w:t>Organización interna.</w:t>
      </w:r>
      <w:r>
        <w:rPr>
          <w:sz w:val="16"/>
        </w:rPr>
        <w:t xml:space="preserve"> </w:t>
      </w:r>
    </w:p>
    <w:p w:rsidR="0076001D" w:rsidRDefault="0034129A">
      <w:pPr>
        <w:numPr>
          <w:ilvl w:val="2"/>
          <w:numId w:val="15"/>
        </w:numPr>
        <w:spacing w:line="248" w:lineRule="auto"/>
        <w:ind w:right="33" w:hanging="490"/>
        <w:jc w:val="left"/>
      </w:pPr>
      <w:r>
        <w:rPr>
          <w:color w:val="4D4D4D"/>
          <w:sz w:val="16"/>
        </w:rPr>
        <w:t>Asignación de responsabilidades para la segur. de la información.</w:t>
      </w:r>
      <w:r>
        <w:rPr>
          <w:sz w:val="16"/>
        </w:rPr>
        <w:t xml:space="preserve"> </w:t>
      </w:r>
    </w:p>
    <w:p w:rsidR="0076001D" w:rsidRDefault="0034129A">
      <w:pPr>
        <w:numPr>
          <w:ilvl w:val="2"/>
          <w:numId w:val="15"/>
        </w:numPr>
        <w:spacing w:line="248" w:lineRule="auto"/>
        <w:ind w:right="33" w:hanging="490"/>
        <w:jc w:val="left"/>
      </w:pPr>
      <w:r>
        <w:rPr>
          <w:color w:val="4D4D4D"/>
          <w:sz w:val="16"/>
        </w:rPr>
        <w:t>Segregación de tareas.</w:t>
      </w:r>
      <w:r>
        <w:rPr>
          <w:sz w:val="16"/>
        </w:rPr>
        <w:t xml:space="preserve"> </w:t>
      </w:r>
    </w:p>
    <w:p w:rsidR="0076001D" w:rsidRDefault="0034129A">
      <w:pPr>
        <w:numPr>
          <w:ilvl w:val="2"/>
          <w:numId w:val="15"/>
        </w:numPr>
        <w:spacing w:line="248" w:lineRule="auto"/>
        <w:ind w:right="33" w:hanging="490"/>
        <w:jc w:val="left"/>
      </w:pPr>
      <w:r>
        <w:rPr>
          <w:color w:val="4D4D4D"/>
          <w:sz w:val="16"/>
        </w:rPr>
        <w:t>Contacto con las autoridades.</w:t>
      </w:r>
      <w:r>
        <w:rPr>
          <w:sz w:val="16"/>
        </w:rPr>
        <w:t xml:space="preserve"> </w:t>
      </w:r>
    </w:p>
    <w:p w:rsidR="0076001D" w:rsidRDefault="0034129A">
      <w:pPr>
        <w:numPr>
          <w:ilvl w:val="2"/>
          <w:numId w:val="15"/>
        </w:numPr>
        <w:spacing w:line="248" w:lineRule="auto"/>
        <w:ind w:right="33" w:hanging="490"/>
        <w:jc w:val="left"/>
      </w:pPr>
      <w:r>
        <w:rPr>
          <w:color w:val="4D4D4D"/>
          <w:sz w:val="16"/>
        </w:rPr>
        <w:t>Contacto con grupos de interés especial.</w:t>
      </w:r>
      <w:r>
        <w:rPr>
          <w:sz w:val="16"/>
        </w:rPr>
        <w:t xml:space="preserve"> </w:t>
      </w:r>
    </w:p>
    <w:p w:rsidR="0076001D" w:rsidRDefault="0034129A">
      <w:pPr>
        <w:numPr>
          <w:ilvl w:val="2"/>
          <w:numId w:val="15"/>
        </w:numPr>
        <w:spacing w:line="248" w:lineRule="auto"/>
        <w:ind w:right="33" w:hanging="490"/>
        <w:jc w:val="left"/>
      </w:pPr>
      <w:r>
        <w:rPr>
          <w:color w:val="4D4D4D"/>
          <w:sz w:val="16"/>
        </w:rPr>
        <w:t>Seguridad de la información en la gestión de proyectos.</w:t>
      </w:r>
      <w:r>
        <w:rPr>
          <w:sz w:val="16"/>
        </w:rPr>
        <w:t xml:space="preserve"> </w:t>
      </w:r>
    </w:p>
    <w:p w:rsidR="0076001D" w:rsidRDefault="0034129A">
      <w:pPr>
        <w:numPr>
          <w:ilvl w:val="1"/>
          <w:numId w:val="15"/>
        </w:numPr>
        <w:spacing w:line="247" w:lineRule="auto"/>
        <w:ind w:right="15" w:hanging="358"/>
        <w:jc w:val="left"/>
      </w:pPr>
      <w:r>
        <w:rPr>
          <w:color w:val="FF0000"/>
          <w:sz w:val="16"/>
        </w:rPr>
        <w:t>Dispositivos para movilidad y teletrabajo.</w:t>
      </w:r>
      <w:r>
        <w:rPr>
          <w:sz w:val="16"/>
        </w:rPr>
        <w:t xml:space="preserve"> </w:t>
      </w:r>
    </w:p>
    <w:p w:rsidR="0076001D" w:rsidRDefault="0076001D">
      <w:pPr>
        <w:sectPr w:rsidR="0076001D">
          <w:type w:val="continuous"/>
          <w:pgSz w:w="12240" w:h="15840"/>
          <w:pgMar w:top="1440" w:right="1480" w:bottom="1440" w:left="1159" w:header="720" w:footer="720" w:gutter="0"/>
          <w:cols w:num="3" w:space="469"/>
        </w:sectPr>
      </w:pPr>
    </w:p>
    <w:p w:rsidR="0076001D" w:rsidRDefault="0034129A">
      <w:pPr>
        <w:spacing w:after="103" w:line="259" w:lineRule="auto"/>
        <w:ind w:left="0" w:firstLine="0"/>
        <w:jc w:val="left"/>
      </w:pPr>
      <w:r>
        <w:rPr>
          <w:sz w:val="14"/>
        </w:rPr>
        <w:lastRenderedPageBreak/>
        <w:t xml:space="preserve"> </w:t>
      </w:r>
    </w:p>
    <w:p w:rsidR="0076001D" w:rsidRDefault="0034129A">
      <w:pPr>
        <w:numPr>
          <w:ilvl w:val="2"/>
          <w:numId w:val="15"/>
        </w:numPr>
        <w:spacing w:after="1" w:line="238" w:lineRule="auto"/>
        <w:ind w:right="33" w:hanging="490"/>
        <w:jc w:val="left"/>
      </w:pPr>
      <w:r>
        <w:rPr>
          <w:rFonts w:ascii="Calibri" w:eastAsia="Calibri" w:hAnsi="Calibri" w:cs="Calibri"/>
          <w:noProof/>
          <w:lang w:val="es-ES" w:eastAsia="es-ES"/>
        </w:rPr>
        <mc:AlternateContent>
          <mc:Choice Requires="wpg">
            <w:drawing>
              <wp:anchor distT="0" distB="0" distL="114300" distR="114300" simplePos="0" relativeHeight="251673600" behindDoc="0" locked="0" layoutInCell="1" allowOverlap="1">
                <wp:simplePos x="0" y="0"/>
                <wp:positionH relativeFrom="column">
                  <wp:posOffset>2245233</wp:posOffset>
                </wp:positionH>
                <wp:positionV relativeFrom="paragraph">
                  <wp:posOffset>-1952</wp:posOffset>
                </wp:positionV>
                <wp:extent cx="9144" cy="7710780"/>
                <wp:effectExtent l="0" t="0" r="0" b="0"/>
                <wp:wrapSquare wrapText="bothSides"/>
                <wp:docPr id="170898" name="Group 170898"/>
                <wp:cNvGraphicFramePr/>
                <a:graphic xmlns:a="http://schemas.openxmlformats.org/drawingml/2006/main">
                  <a:graphicData uri="http://schemas.microsoft.com/office/word/2010/wordprocessingGroup">
                    <wpg:wgp>
                      <wpg:cNvGrpSpPr/>
                      <wpg:grpSpPr>
                        <a:xfrm>
                          <a:off x="0" y="0"/>
                          <a:ext cx="9144" cy="7710780"/>
                          <a:chOff x="0" y="0"/>
                          <a:chExt cx="9144" cy="7710780"/>
                        </a:xfrm>
                      </wpg:grpSpPr>
                      <wps:wsp>
                        <wps:cNvPr id="14785" name="Shape 14785"/>
                        <wps:cNvSpPr/>
                        <wps:spPr>
                          <a:xfrm>
                            <a:off x="0" y="0"/>
                            <a:ext cx="0" cy="7710780"/>
                          </a:xfrm>
                          <a:custGeom>
                            <a:avLst/>
                            <a:gdLst/>
                            <a:ahLst/>
                            <a:cxnLst/>
                            <a:rect l="0" t="0" r="0" b="0"/>
                            <a:pathLst>
                              <a:path h="7710780">
                                <a:moveTo>
                                  <a:pt x="0" y="0"/>
                                </a:moveTo>
                                <a:lnTo>
                                  <a:pt x="0" y="771078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70898" style="width:0.72pt;height:607.148pt;position:absolute;mso-position-horizontal-relative:text;mso-position-horizontal:absolute;margin-left:176.79pt;mso-position-vertical-relative:text;margin-top:-0.153809pt;" coordsize="91,77107">
                <v:shape id="Shape 14785" style="position:absolute;width:0;height:77107;left:0;top:0;" coordsize="0,7710780" path="m0,0l0,7710780">
                  <v:stroke weight="0.72pt" endcap="flat" joinstyle="round" on="true" color="#000000"/>
                  <v:fill on="false" color="#000000" opacity="0"/>
                </v:shape>
                <w10:wrap type="square"/>
              </v:group>
            </w:pict>
          </mc:Fallback>
        </mc:AlternateContent>
      </w:r>
      <w:r>
        <w:rPr>
          <w:color w:val="4D4D4D"/>
          <w:sz w:val="16"/>
        </w:rPr>
        <w:t>Política de uso de dispositivos para movilidad.</w:t>
      </w:r>
      <w:r>
        <w:rPr>
          <w:sz w:val="16"/>
        </w:rPr>
        <w:t xml:space="preserve"> </w:t>
      </w:r>
      <w:r>
        <w:rPr>
          <w:color w:val="4D4D4D"/>
          <w:sz w:val="16"/>
        </w:rPr>
        <w:t>6.2.2 Teletrabajo.</w:t>
      </w:r>
      <w:r>
        <w:rPr>
          <w:sz w:val="16"/>
        </w:rPr>
        <w:t xml:space="preserve"> </w:t>
      </w:r>
    </w:p>
    <w:p w:rsidR="0076001D" w:rsidRDefault="0034129A">
      <w:pPr>
        <w:numPr>
          <w:ilvl w:val="0"/>
          <w:numId w:val="15"/>
        </w:numPr>
        <w:spacing w:line="248" w:lineRule="auto"/>
        <w:ind w:hanging="269"/>
        <w:jc w:val="left"/>
      </w:pPr>
      <w:r>
        <w:rPr>
          <w:b/>
          <w:color w:val="0000FF"/>
          <w:sz w:val="16"/>
        </w:rPr>
        <w:t>SEGURIDAD LIGADA A LOS RECURSOS HUMANOS.</w:t>
      </w:r>
      <w:r>
        <w:rPr>
          <w:b/>
          <w:sz w:val="16"/>
        </w:rPr>
        <w:t xml:space="preserve"> </w:t>
      </w:r>
    </w:p>
    <w:p w:rsidR="0076001D" w:rsidRDefault="0034129A">
      <w:pPr>
        <w:numPr>
          <w:ilvl w:val="1"/>
          <w:numId w:val="15"/>
        </w:numPr>
        <w:spacing w:line="247" w:lineRule="auto"/>
        <w:ind w:right="15" w:hanging="358"/>
        <w:jc w:val="left"/>
      </w:pPr>
      <w:r>
        <w:rPr>
          <w:color w:val="FF0000"/>
          <w:sz w:val="16"/>
        </w:rPr>
        <w:t>Antes de la contratación.</w:t>
      </w:r>
      <w:r>
        <w:rPr>
          <w:sz w:val="16"/>
        </w:rPr>
        <w:t xml:space="preserve"> </w:t>
      </w:r>
    </w:p>
    <w:p w:rsidR="0076001D" w:rsidRDefault="0034129A">
      <w:pPr>
        <w:numPr>
          <w:ilvl w:val="2"/>
          <w:numId w:val="15"/>
        </w:numPr>
        <w:spacing w:line="248" w:lineRule="auto"/>
        <w:ind w:right="33" w:hanging="490"/>
        <w:jc w:val="left"/>
      </w:pPr>
      <w:r>
        <w:rPr>
          <w:color w:val="4D4D4D"/>
          <w:sz w:val="16"/>
        </w:rPr>
        <w:t>Investigación de antecedentes.</w:t>
      </w:r>
      <w:r>
        <w:rPr>
          <w:sz w:val="16"/>
        </w:rPr>
        <w:t xml:space="preserve"> </w:t>
      </w:r>
      <w:r>
        <w:rPr>
          <w:color w:val="4D4D4D"/>
          <w:sz w:val="16"/>
        </w:rPr>
        <w:t>7.1.2 Términos y condiciones de contratación.</w:t>
      </w:r>
      <w:r>
        <w:rPr>
          <w:sz w:val="16"/>
        </w:rPr>
        <w:t xml:space="preserve"> </w:t>
      </w:r>
    </w:p>
    <w:p w:rsidR="0076001D" w:rsidRDefault="0034129A">
      <w:pPr>
        <w:numPr>
          <w:ilvl w:val="1"/>
          <w:numId w:val="15"/>
        </w:numPr>
        <w:spacing w:line="247" w:lineRule="auto"/>
        <w:ind w:right="15" w:hanging="358"/>
        <w:jc w:val="left"/>
      </w:pPr>
      <w:r>
        <w:rPr>
          <w:color w:val="FF0000"/>
          <w:sz w:val="16"/>
        </w:rPr>
        <w:t>Durante la contratación.</w:t>
      </w:r>
      <w:r>
        <w:rPr>
          <w:sz w:val="16"/>
        </w:rPr>
        <w:t xml:space="preserve"> </w:t>
      </w:r>
    </w:p>
    <w:p w:rsidR="0076001D" w:rsidRDefault="0034129A">
      <w:pPr>
        <w:numPr>
          <w:ilvl w:val="2"/>
          <w:numId w:val="15"/>
        </w:numPr>
        <w:spacing w:line="248" w:lineRule="auto"/>
        <w:ind w:right="33" w:hanging="490"/>
        <w:jc w:val="left"/>
      </w:pPr>
      <w:r>
        <w:rPr>
          <w:color w:val="4D4D4D"/>
          <w:sz w:val="16"/>
        </w:rPr>
        <w:t>Responsabilidades de gestión.</w:t>
      </w:r>
      <w:r>
        <w:rPr>
          <w:sz w:val="16"/>
        </w:rPr>
        <w:t xml:space="preserve"> </w:t>
      </w:r>
      <w:r>
        <w:rPr>
          <w:color w:val="4D4D4D"/>
          <w:sz w:val="16"/>
        </w:rPr>
        <w:t xml:space="preserve">7.2.2 Concienciación, educación y capacitación en segur. de la </w:t>
      </w:r>
      <w:proofErr w:type="spellStart"/>
      <w:r>
        <w:rPr>
          <w:color w:val="4D4D4D"/>
          <w:sz w:val="16"/>
        </w:rPr>
        <w:t>informac</w:t>
      </w:r>
      <w:proofErr w:type="spellEnd"/>
      <w:r>
        <w:rPr>
          <w:color w:val="4D4D4D"/>
          <w:sz w:val="16"/>
        </w:rPr>
        <w:t>.</w:t>
      </w:r>
      <w:r>
        <w:rPr>
          <w:sz w:val="16"/>
        </w:rPr>
        <w:t xml:space="preserve"> </w:t>
      </w:r>
    </w:p>
    <w:p w:rsidR="0076001D" w:rsidRDefault="0034129A">
      <w:pPr>
        <w:spacing w:line="248" w:lineRule="auto"/>
        <w:ind w:left="548" w:right="33" w:hanging="8"/>
        <w:jc w:val="left"/>
      </w:pPr>
      <w:r>
        <w:rPr>
          <w:color w:val="4D4D4D"/>
          <w:sz w:val="16"/>
        </w:rPr>
        <w:t>7.2.3 Proceso disciplinario.</w:t>
      </w:r>
      <w:r>
        <w:rPr>
          <w:sz w:val="16"/>
        </w:rPr>
        <w:t xml:space="preserve"> </w:t>
      </w:r>
    </w:p>
    <w:p w:rsidR="0076001D" w:rsidRDefault="0034129A">
      <w:pPr>
        <w:numPr>
          <w:ilvl w:val="1"/>
          <w:numId w:val="15"/>
        </w:numPr>
        <w:spacing w:line="247" w:lineRule="auto"/>
        <w:ind w:right="15" w:hanging="358"/>
        <w:jc w:val="left"/>
      </w:pPr>
      <w:r>
        <w:rPr>
          <w:color w:val="FF0000"/>
          <w:sz w:val="16"/>
        </w:rPr>
        <w:t>Cese o cambio de puesto de trabajo.</w:t>
      </w:r>
      <w:r>
        <w:rPr>
          <w:sz w:val="16"/>
        </w:rPr>
        <w:t xml:space="preserve"> </w:t>
      </w:r>
    </w:p>
    <w:p w:rsidR="0076001D" w:rsidRDefault="0034129A">
      <w:pPr>
        <w:numPr>
          <w:ilvl w:val="2"/>
          <w:numId w:val="15"/>
        </w:numPr>
        <w:spacing w:line="248" w:lineRule="auto"/>
        <w:ind w:right="33" w:hanging="490"/>
        <w:jc w:val="left"/>
      </w:pPr>
      <w:r>
        <w:rPr>
          <w:color w:val="4D4D4D"/>
          <w:sz w:val="16"/>
        </w:rPr>
        <w:t>Cese o cambio de puesto de trabajo.</w:t>
      </w:r>
      <w:r>
        <w:rPr>
          <w:sz w:val="16"/>
        </w:rPr>
        <w:t xml:space="preserve"> </w:t>
      </w:r>
    </w:p>
    <w:p w:rsidR="0076001D" w:rsidRDefault="0034129A">
      <w:pPr>
        <w:numPr>
          <w:ilvl w:val="0"/>
          <w:numId w:val="15"/>
        </w:numPr>
        <w:spacing w:line="248" w:lineRule="auto"/>
        <w:ind w:hanging="269"/>
        <w:jc w:val="left"/>
      </w:pPr>
      <w:r>
        <w:rPr>
          <w:b/>
          <w:color w:val="0000FF"/>
          <w:sz w:val="16"/>
        </w:rPr>
        <w:t>GESTIÓN DE ACTIVOS.</w:t>
      </w:r>
      <w:r>
        <w:rPr>
          <w:b/>
          <w:sz w:val="16"/>
        </w:rPr>
        <w:t xml:space="preserve"> </w:t>
      </w:r>
    </w:p>
    <w:p w:rsidR="0076001D" w:rsidRDefault="0034129A">
      <w:pPr>
        <w:numPr>
          <w:ilvl w:val="1"/>
          <w:numId w:val="15"/>
        </w:numPr>
        <w:spacing w:line="247" w:lineRule="auto"/>
        <w:ind w:right="15" w:hanging="358"/>
        <w:jc w:val="left"/>
      </w:pPr>
      <w:r>
        <w:rPr>
          <w:color w:val="FF0000"/>
          <w:sz w:val="16"/>
        </w:rPr>
        <w:t>Responsabilidad sobre los activos.</w:t>
      </w:r>
      <w:r>
        <w:rPr>
          <w:sz w:val="16"/>
        </w:rPr>
        <w:t xml:space="preserve"> </w:t>
      </w:r>
    </w:p>
    <w:p w:rsidR="0076001D" w:rsidRDefault="0034129A">
      <w:pPr>
        <w:numPr>
          <w:ilvl w:val="2"/>
          <w:numId w:val="15"/>
        </w:numPr>
        <w:spacing w:line="248" w:lineRule="auto"/>
        <w:ind w:right="33" w:hanging="490"/>
        <w:jc w:val="left"/>
      </w:pPr>
      <w:r>
        <w:rPr>
          <w:color w:val="4D4D4D"/>
          <w:sz w:val="16"/>
        </w:rPr>
        <w:t>Inventario de activos.</w:t>
      </w:r>
      <w:r>
        <w:rPr>
          <w:sz w:val="16"/>
        </w:rPr>
        <w:t xml:space="preserve"> </w:t>
      </w:r>
    </w:p>
    <w:p w:rsidR="0076001D" w:rsidRDefault="0034129A">
      <w:pPr>
        <w:numPr>
          <w:ilvl w:val="2"/>
          <w:numId w:val="15"/>
        </w:numPr>
        <w:spacing w:line="248" w:lineRule="auto"/>
        <w:ind w:right="33" w:hanging="490"/>
        <w:jc w:val="left"/>
      </w:pPr>
      <w:r>
        <w:rPr>
          <w:color w:val="4D4D4D"/>
          <w:sz w:val="16"/>
        </w:rPr>
        <w:t>Propiedad de los activos.</w:t>
      </w:r>
      <w:r>
        <w:rPr>
          <w:sz w:val="16"/>
        </w:rPr>
        <w:t xml:space="preserve"> </w:t>
      </w:r>
    </w:p>
    <w:p w:rsidR="0076001D" w:rsidRDefault="0034129A">
      <w:pPr>
        <w:numPr>
          <w:ilvl w:val="2"/>
          <w:numId w:val="15"/>
        </w:numPr>
        <w:spacing w:line="248" w:lineRule="auto"/>
        <w:ind w:right="33" w:hanging="490"/>
        <w:jc w:val="left"/>
      </w:pPr>
      <w:r>
        <w:rPr>
          <w:color w:val="4D4D4D"/>
          <w:sz w:val="16"/>
        </w:rPr>
        <w:t>Uso aceptable de los activos.</w:t>
      </w:r>
      <w:r>
        <w:rPr>
          <w:sz w:val="16"/>
        </w:rPr>
        <w:t xml:space="preserve"> </w:t>
      </w:r>
    </w:p>
    <w:p w:rsidR="0076001D" w:rsidRDefault="0034129A">
      <w:pPr>
        <w:numPr>
          <w:ilvl w:val="2"/>
          <w:numId w:val="15"/>
        </w:numPr>
        <w:spacing w:line="248" w:lineRule="auto"/>
        <w:ind w:right="33" w:hanging="490"/>
        <w:jc w:val="left"/>
      </w:pPr>
      <w:r>
        <w:rPr>
          <w:color w:val="4D4D4D"/>
          <w:sz w:val="16"/>
        </w:rPr>
        <w:t>Devolución de activos.</w:t>
      </w:r>
      <w:r>
        <w:rPr>
          <w:sz w:val="16"/>
        </w:rPr>
        <w:t xml:space="preserve"> </w:t>
      </w:r>
    </w:p>
    <w:p w:rsidR="0076001D" w:rsidRDefault="0034129A">
      <w:pPr>
        <w:numPr>
          <w:ilvl w:val="1"/>
          <w:numId w:val="15"/>
        </w:numPr>
        <w:spacing w:line="247" w:lineRule="auto"/>
        <w:ind w:right="15" w:hanging="358"/>
        <w:jc w:val="left"/>
      </w:pPr>
      <w:r>
        <w:rPr>
          <w:color w:val="FF0000"/>
          <w:sz w:val="16"/>
        </w:rPr>
        <w:t>Clasificación de la información.</w:t>
      </w:r>
      <w:r>
        <w:rPr>
          <w:sz w:val="16"/>
        </w:rPr>
        <w:t xml:space="preserve"> </w:t>
      </w:r>
    </w:p>
    <w:p w:rsidR="0076001D" w:rsidRDefault="0034129A">
      <w:pPr>
        <w:numPr>
          <w:ilvl w:val="2"/>
          <w:numId w:val="15"/>
        </w:numPr>
        <w:spacing w:line="248" w:lineRule="auto"/>
        <w:ind w:right="33" w:hanging="490"/>
        <w:jc w:val="left"/>
      </w:pPr>
      <w:r>
        <w:rPr>
          <w:color w:val="4D4D4D"/>
          <w:sz w:val="16"/>
        </w:rPr>
        <w:t>Directrices de clasificación.</w:t>
      </w:r>
      <w:r>
        <w:rPr>
          <w:sz w:val="16"/>
        </w:rPr>
        <w:t xml:space="preserve"> </w:t>
      </w:r>
    </w:p>
    <w:p w:rsidR="0076001D" w:rsidRDefault="0034129A">
      <w:pPr>
        <w:numPr>
          <w:ilvl w:val="2"/>
          <w:numId w:val="15"/>
        </w:numPr>
        <w:spacing w:line="248" w:lineRule="auto"/>
        <w:ind w:right="33" w:hanging="490"/>
        <w:jc w:val="left"/>
      </w:pPr>
      <w:r>
        <w:rPr>
          <w:color w:val="4D4D4D"/>
          <w:sz w:val="16"/>
        </w:rPr>
        <w:t>Etiquetado y manipulado de la información.</w:t>
      </w:r>
      <w:r>
        <w:rPr>
          <w:sz w:val="16"/>
        </w:rPr>
        <w:t xml:space="preserve"> </w:t>
      </w:r>
      <w:r>
        <w:rPr>
          <w:color w:val="4D4D4D"/>
          <w:sz w:val="16"/>
        </w:rPr>
        <w:t>8.2.3 Manipulación de activos.</w:t>
      </w:r>
      <w:r>
        <w:rPr>
          <w:sz w:val="16"/>
        </w:rPr>
        <w:t xml:space="preserve"> </w:t>
      </w:r>
      <w:r>
        <w:rPr>
          <w:color w:val="FF0000"/>
          <w:sz w:val="16"/>
        </w:rPr>
        <w:t>8.3 Manejo de los soportes de almacenamiento.</w:t>
      </w:r>
      <w:r>
        <w:rPr>
          <w:sz w:val="16"/>
        </w:rPr>
        <w:t xml:space="preserve"> </w:t>
      </w:r>
    </w:p>
    <w:p w:rsidR="0076001D" w:rsidRDefault="0034129A">
      <w:pPr>
        <w:numPr>
          <w:ilvl w:val="2"/>
          <w:numId w:val="16"/>
        </w:numPr>
        <w:spacing w:line="248" w:lineRule="auto"/>
        <w:ind w:right="33" w:hanging="406"/>
        <w:jc w:val="left"/>
      </w:pPr>
      <w:r>
        <w:rPr>
          <w:color w:val="4D4D4D"/>
          <w:sz w:val="16"/>
        </w:rPr>
        <w:t>Gestión de soportes extraíbles.</w:t>
      </w:r>
      <w:r>
        <w:rPr>
          <w:sz w:val="16"/>
        </w:rPr>
        <w:t xml:space="preserve"> </w:t>
      </w:r>
    </w:p>
    <w:p w:rsidR="0076001D" w:rsidRDefault="0034129A">
      <w:pPr>
        <w:numPr>
          <w:ilvl w:val="2"/>
          <w:numId w:val="16"/>
        </w:numPr>
        <w:spacing w:line="248" w:lineRule="auto"/>
        <w:ind w:right="33" w:hanging="406"/>
        <w:jc w:val="left"/>
      </w:pPr>
      <w:r>
        <w:rPr>
          <w:color w:val="4D4D4D"/>
          <w:sz w:val="16"/>
        </w:rPr>
        <w:t>Eliminación de soportes.</w:t>
      </w:r>
      <w:r>
        <w:rPr>
          <w:sz w:val="16"/>
        </w:rPr>
        <w:t xml:space="preserve"> </w:t>
      </w:r>
    </w:p>
    <w:p w:rsidR="0076001D" w:rsidRDefault="0034129A">
      <w:pPr>
        <w:numPr>
          <w:ilvl w:val="2"/>
          <w:numId w:val="16"/>
        </w:numPr>
        <w:spacing w:line="248" w:lineRule="auto"/>
        <w:ind w:right="33" w:hanging="406"/>
        <w:jc w:val="left"/>
      </w:pPr>
      <w:r>
        <w:rPr>
          <w:color w:val="4D4D4D"/>
          <w:sz w:val="16"/>
        </w:rPr>
        <w:t>Soportes físicos en tránsito.</w:t>
      </w:r>
      <w:r>
        <w:rPr>
          <w:sz w:val="16"/>
        </w:rPr>
        <w:t xml:space="preserve"> </w:t>
      </w:r>
    </w:p>
    <w:p w:rsidR="0076001D" w:rsidRDefault="0034129A">
      <w:pPr>
        <w:numPr>
          <w:ilvl w:val="0"/>
          <w:numId w:val="15"/>
        </w:numPr>
        <w:spacing w:line="248" w:lineRule="auto"/>
        <w:ind w:hanging="269"/>
        <w:jc w:val="left"/>
      </w:pPr>
      <w:r>
        <w:rPr>
          <w:b/>
          <w:color w:val="0000FF"/>
          <w:sz w:val="16"/>
        </w:rPr>
        <w:t>CONTROL DE ACCESOS.</w:t>
      </w:r>
      <w:r>
        <w:rPr>
          <w:b/>
          <w:sz w:val="16"/>
        </w:rPr>
        <w:t xml:space="preserve"> </w:t>
      </w:r>
    </w:p>
    <w:p w:rsidR="0076001D" w:rsidRDefault="0034129A">
      <w:pPr>
        <w:numPr>
          <w:ilvl w:val="1"/>
          <w:numId w:val="15"/>
        </w:numPr>
        <w:spacing w:line="247" w:lineRule="auto"/>
        <w:ind w:right="15" w:hanging="358"/>
        <w:jc w:val="left"/>
      </w:pPr>
      <w:r>
        <w:rPr>
          <w:color w:val="FF0000"/>
          <w:sz w:val="16"/>
        </w:rPr>
        <w:t>Requisitos de negocio para el control de accesos.</w:t>
      </w:r>
      <w:r>
        <w:rPr>
          <w:sz w:val="16"/>
        </w:rPr>
        <w:t xml:space="preserve"> </w:t>
      </w:r>
      <w:r>
        <w:rPr>
          <w:color w:val="4D4D4D"/>
          <w:sz w:val="16"/>
        </w:rPr>
        <w:t>9.1.1 Política de control de accesos.</w:t>
      </w:r>
      <w:r>
        <w:rPr>
          <w:sz w:val="16"/>
        </w:rPr>
        <w:t xml:space="preserve"> </w:t>
      </w:r>
    </w:p>
    <w:p w:rsidR="0076001D" w:rsidRDefault="0034129A">
      <w:pPr>
        <w:spacing w:line="248" w:lineRule="auto"/>
        <w:ind w:left="548" w:right="149" w:hanging="8"/>
        <w:jc w:val="left"/>
      </w:pPr>
      <w:r>
        <w:rPr>
          <w:color w:val="4D4D4D"/>
          <w:sz w:val="16"/>
        </w:rPr>
        <w:t>9.1.2 Control de acceso a las redes y servicios asociados.</w:t>
      </w:r>
      <w:r>
        <w:rPr>
          <w:sz w:val="16"/>
        </w:rPr>
        <w:t xml:space="preserve"> </w:t>
      </w:r>
      <w:r>
        <w:rPr>
          <w:color w:val="FF0000"/>
          <w:sz w:val="16"/>
        </w:rPr>
        <w:t>9.2 Gestión de acceso de usuario.</w:t>
      </w:r>
      <w:r>
        <w:rPr>
          <w:sz w:val="16"/>
        </w:rPr>
        <w:t xml:space="preserve"> </w:t>
      </w:r>
      <w:r>
        <w:rPr>
          <w:color w:val="4D4D4D"/>
          <w:sz w:val="16"/>
        </w:rPr>
        <w:t>9.2.1 Gestión de altas/bajas en el registro de usuarios.</w:t>
      </w:r>
      <w:r>
        <w:rPr>
          <w:sz w:val="16"/>
        </w:rPr>
        <w:t xml:space="preserve"> </w:t>
      </w:r>
    </w:p>
    <w:p w:rsidR="0076001D" w:rsidRDefault="0034129A">
      <w:pPr>
        <w:numPr>
          <w:ilvl w:val="2"/>
          <w:numId w:val="17"/>
        </w:numPr>
        <w:spacing w:line="248" w:lineRule="auto"/>
        <w:ind w:left="551" w:right="33" w:hanging="8"/>
        <w:jc w:val="left"/>
      </w:pPr>
      <w:r>
        <w:rPr>
          <w:color w:val="4D4D4D"/>
          <w:sz w:val="16"/>
        </w:rPr>
        <w:t>Gestión de los derechos de acceso asignados a usuarios.</w:t>
      </w:r>
      <w:r>
        <w:rPr>
          <w:sz w:val="16"/>
        </w:rPr>
        <w:t xml:space="preserve"> </w:t>
      </w:r>
    </w:p>
    <w:p w:rsidR="0076001D" w:rsidRDefault="0034129A">
      <w:pPr>
        <w:numPr>
          <w:ilvl w:val="2"/>
          <w:numId w:val="17"/>
        </w:numPr>
        <w:spacing w:line="248" w:lineRule="auto"/>
        <w:ind w:left="551" w:right="33" w:hanging="8"/>
        <w:jc w:val="left"/>
      </w:pPr>
      <w:r>
        <w:rPr>
          <w:color w:val="4D4D4D"/>
          <w:sz w:val="16"/>
        </w:rPr>
        <w:t>Gestión de los derechos de acceso con privilegios especiales.</w:t>
      </w:r>
      <w:r>
        <w:rPr>
          <w:sz w:val="16"/>
        </w:rPr>
        <w:t xml:space="preserve"> </w:t>
      </w:r>
      <w:r>
        <w:rPr>
          <w:color w:val="4D4D4D"/>
          <w:sz w:val="16"/>
        </w:rPr>
        <w:t>9.2.4 Gestión de información confidencial de autenticación de usuarios.</w:t>
      </w:r>
      <w:r>
        <w:rPr>
          <w:sz w:val="16"/>
        </w:rPr>
        <w:t xml:space="preserve"> </w:t>
      </w:r>
    </w:p>
    <w:p w:rsidR="0076001D" w:rsidRDefault="0034129A">
      <w:pPr>
        <w:numPr>
          <w:ilvl w:val="2"/>
          <w:numId w:val="18"/>
        </w:numPr>
        <w:spacing w:line="248" w:lineRule="auto"/>
        <w:ind w:left="550" w:right="167" w:hanging="8"/>
        <w:jc w:val="left"/>
      </w:pPr>
      <w:r>
        <w:rPr>
          <w:color w:val="4D4D4D"/>
          <w:sz w:val="16"/>
        </w:rPr>
        <w:t>Revisión de los derechos de acceso de los usuarios.</w:t>
      </w:r>
      <w:r>
        <w:rPr>
          <w:sz w:val="16"/>
        </w:rPr>
        <w:t xml:space="preserve"> </w:t>
      </w:r>
    </w:p>
    <w:p w:rsidR="0076001D" w:rsidRDefault="0034129A">
      <w:pPr>
        <w:numPr>
          <w:ilvl w:val="2"/>
          <w:numId w:val="18"/>
        </w:numPr>
        <w:spacing w:line="248" w:lineRule="auto"/>
        <w:ind w:left="550" w:right="167" w:hanging="8"/>
        <w:jc w:val="left"/>
      </w:pPr>
      <w:r>
        <w:rPr>
          <w:color w:val="4D4D4D"/>
          <w:sz w:val="16"/>
        </w:rPr>
        <w:t>Retirada o adaptación de los derechos de acceso</w:t>
      </w:r>
      <w:r>
        <w:rPr>
          <w:sz w:val="16"/>
        </w:rPr>
        <w:t xml:space="preserve"> </w:t>
      </w:r>
      <w:r>
        <w:rPr>
          <w:color w:val="FF0000"/>
          <w:sz w:val="16"/>
        </w:rPr>
        <w:t>9.3 Responsabilidades del usuario.</w:t>
      </w:r>
      <w:r>
        <w:rPr>
          <w:sz w:val="16"/>
        </w:rPr>
        <w:t xml:space="preserve"> </w:t>
      </w:r>
    </w:p>
    <w:p w:rsidR="0076001D" w:rsidRDefault="0034129A">
      <w:pPr>
        <w:spacing w:line="248" w:lineRule="auto"/>
        <w:ind w:left="551" w:right="33" w:hanging="8"/>
        <w:jc w:val="left"/>
      </w:pPr>
      <w:r>
        <w:rPr>
          <w:color w:val="4D4D4D"/>
          <w:sz w:val="16"/>
        </w:rPr>
        <w:t>9.3.1 Uso de información confidencial para la autenticación.</w:t>
      </w:r>
      <w:r>
        <w:rPr>
          <w:sz w:val="16"/>
        </w:rPr>
        <w:t xml:space="preserve"> </w:t>
      </w:r>
    </w:p>
    <w:p w:rsidR="0076001D" w:rsidRDefault="0034129A">
      <w:pPr>
        <w:spacing w:line="247" w:lineRule="auto"/>
        <w:ind w:left="551" w:right="15" w:hanging="8"/>
        <w:jc w:val="left"/>
      </w:pPr>
      <w:r>
        <w:rPr>
          <w:color w:val="FF0000"/>
          <w:sz w:val="16"/>
        </w:rPr>
        <w:t>9.4 Control de acceso a sistemas y aplicaciones.</w:t>
      </w:r>
      <w:r>
        <w:rPr>
          <w:sz w:val="16"/>
        </w:rPr>
        <w:t xml:space="preserve"> </w:t>
      </w:r>
    </w:p>
    <w:p w:rsidR="0076001D" w:rsidRDefault="0034129A">
      <w:pPr>
        <w:numPr>
          <w:ilvl w:val="2"/>
          <w:numId w:val="15"/>
        </w:numPr>
        <w:spacing w:line="248" w:lineRule="auto"/>
        <w:ind w:right="33" w:hanging="490"/>
        <w:jc w:val="left"/>
      </w:pPr>
      <w:r>
        <w:rPr>
          <w:color w:val="4D4D4D"/>
          <w:sz w:val="16"/>
        </w:rPr>
        <w:t>Restricción del acceso a la información.</w:t>
      </w:r>
      <w:r>
        <w:rPr>
          <w:sz w:val="16"/>
        </w:rPr>
        <w:t xml:space="preserve"> </w:t>
      </w:r>
    </w:p>
    <w:p w:rsidR="0076001D" w:rsidRDefault="0034129A">
      <w:pPr>
        <w:numPr>
          <w:ilvl w:val="2"/>
          <w:numId w:val="15"/>
        </w:numPr>
        <w:spacing w:line="248" w:lineRule="auto"/>
        <w:ind w:right="33" w:hanging="490"/>
        <w:jc w:val="left"/>
      </w:pPr>
      <w:r>
        <w:rPr>
          <w:color w:val="4D4D4D"/>
          <w:sz w:val="16"/>
        </w:rPr>
        <w:t>Procedimientos seguros de inicio de sesión.</w:t>
      </w:r>
      <w:r>
        <w:rPr>
          <w:sz w:val="16"/>
        </w:rPr>
        <w:t xml:space="preserve"> </w:t>
      </w:r>
    </w:p>
    <w:p w:rsidR="0076001D" w:rsidRDefault="0034129A">
      <w:pPr>
        <w:numPr>
          <w:ilvl w:val="2"/>
          <w:numId w:val="15"/>
        </w:numPr>
        <w:spacing w:after="400" w:line="248" w:lineRule="auto"/>
        <w:ind w:right="33" w:hanging="490"/>
        <w:jc w:val="left"/>
      </w:pPr>
      <w:r>
        <w:rPr>
          <w:color w:val="4D4D4D"/>
          <w:sz w:val="16"/>
        </w:rPr>
        <w:t>Gestión de contraseñas de usuario.</w:t>
      </w:r>
      <w:r>
        <w:rPr>
          <w:sz w:val="16"/>
        </w:rPr>
        <w:t xml:space="preserve"> </w:t>
      </w:r>
    </w:p>
    <w:p w:rsidR="0076001D" w:rsidRDefault="0034129A">
      <w:pPr>
        <w:spacing w:after="5" w:line="259" w:lineRule="auto"/>
        <w:ind w:left="0" w:firstLine="0"/>
        <w:jc w:val="left"/>
      </w:pPr>
      <w:r>
        <w:rPr>
          <w:sz w:val="20"/>
        </w:rPr>
        <w:t xml:space="preserve"> </w:t>
      </w:r>
    </w:p>
    <w:p w:rsidR="0076001D" w:rsidRDefault="0034129A">
      <w:pPr>
        <w:spacing w:after="0" w:line="259" w:lineRule="auto"/>
        <w:ind w:left="0" w:firstLine="0"/>
        <w:jc w:val="left"/>
      </w:pPr>
      <w:r>
        <w:t xml:space="preserve"> </w:t>
      </w:r>
    </w:p>
    <w:p w:rsidR="0076001D" w:rsidRDefault="0034129A">
      <w:pPr>
        <w:numPr>
          <w:ilvl w:val="2"/>
          <w:numId w:val="15"/>
        </w:numPr>
        <w:spacing w:line="248" w:lineRule="auto"/>
        <w:ind w:right="33" w:hanging="490"/>
        <w:jc w:val="left"/>
      </w:pPr>
      <w:r>
        <w:rPr>
          <w:rFonts w:ascii="Calibri" w:eastAsia="Calibri" w:hAnsi="Calibri" w:cs="Calibri"/>
          <w:noProof/>
          <w:lang w:val="es-ES" w:eastAsia="es-ES"/>
        </w:rPr>
        <mc:AlternateContent>
          <mc:Choice Requires="wpg">
            <w:drawing>
              <wp:anchor distT="0" distB="0" distL="114300" distR="114300" simplePos="0" relativeHeight="251674624" behindDoc="0" locked="0" layoutInCell="1" allowOverlap="1">
                <wp:simplePos x="0" y="0"/>
                <wp:positionH relativeFrom="column">
                  <wp:posOffset>1902079</wp:posOffset>
                </wp:positionH>
                <wp:positionV relativeFrom="paragraph">
                  <wp:posOffset>6937</wp:posOffset>
                </wp:positionV>
                <wp:extent cx="9144" cy="7710805"/>
                <wp:effectExtent l="0" t="0" r="0" b="0"/>
                <wp:wrapSquare wrapText="bothSides"/>
                <wp:docPr id="170897" name="Group 170897"/>
                <wp:cNvGraphicFramePr/>
                <a:graphic xmlns:a="http://schemas.openxmlformats.org/drawingml/2006/main">
                  <a:graphicData uri="http://schemas.microsoft.com/office/word/2010/wordprocessingGroup">
                    <wpg:wgp>
                      <wpg:cNvGrpSpPr/>
                      <wpg:grpSpPr>
                        <a:xfrm>
                          <a:off x="0" y="0"/>
                          <a:ext cx="9144" cy="7710805"/>
                          <a:chOff x="0" y="0"/>
                          <a:chExt cx="9144" cy="7710805"/>
                        </a:xfrm>
                      </wpg:grpSpPr>
                      <wps:wsp>
                        <wps:cNvPr id="14019" name="Shape 14019"/>
                        <wps:cNvSpPr/>
                        <wps:spPr>
                          <a:xfrm>
                            <a:off x="0" y="0"/>
                            <a:ext cx="0" cy="7710805"/>
                          </a:xfrm>
                          <a:custGeom>
                            <a:avLst/>
                            <a:gdLst/>
                            <a:ahLst/>
                            <a:cxnLst/>
                            <a:rect l="0" t="0" r="0" b="0"/>
                            <a:pathLst>
                              <a:path h="7710805">
                                <a:moveTo>
                                  <a:pt x="0" y="0"/>
                                </a:moveTo>
                                <a:lnTo>
                                  <a:pt x="0" y="7710805"/>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70897" style="width:0.72pt;height:607.15pt;position:absolute;mso-position-horizontal-relative:text;mso-position-horizontal:absolute;margin-left:149.77pt;mso-position-vertical-relative:text;margin-top:0.546204pt;" coordsize="91,77108">
                <v:shape id="Shape 14019" style="position:absolute;width:0;height:77108;left:0;top:0;" coordsize="0,7710805" path="m0,0l0,7710805">
                  <v:stroke weight="0.72pt" endcap="flat" joinstyle="round" on="true" color="#000000"/>
                  <v:fill on="false" color="#000000" opacity="0"/>
                </v:shape>
                <w10:wrap type="square"/>
              </v:group>
            </w:pict>
          </mc:Fallback>
        </mc:AlternateContent>
      </w:r>
      <w:r>
        <w:rPr>
          <w:color w:val="4D4D4D"/>
          <w:sz w:val="16"/>
        </w:rPr>
        <w:t>Uso de herramientas de administración de sistemas.</w:t>
      </w:r>
      <w:r>
        <w:rPr>
          <w:sz w:val="16"/>
        </w:rPr>
        <w:t xml:space="preserve"> </w:t>
      </w:r>
    </w:p>
    <w:p w:rsidR="0076001D" w:rsidRDefault="0034129A">
      <w:pPr>
        <w:numPr>
          <w:ilvl w:val="2"/>
          <w:numId w:val="15"/>
        </w:numPr>
        <w:spacing w:line="248" w:lineRule="auto"/>
        <w:ind w:right="33" w:hanging="490"/>
        <w:jc w:val="left"/>
      </w:pPr>
      <w:r>
        <w:rPr>
          <w:color w:val="4D4D4D"/>
          <w:sz w:val="16"/>
        </w:rPr>
        <w:t>Control de acceso al código fuente de los programas.</w:t>
      </w:r>
      <w:r>
        <w:rPr>
          <w:sz w:val="16"/>
        </w:rPr>
        <w:t xml:space="preserve"> </w:t>
      </w:r>
    </w:p>
    <w:p w:rsidR="0076001D" w:rsidRDefault="0034129A">
      <w:pPr>
        <w:numPr>
          <w:ilvl w:val="0"/>
          <w:numId w:val="15"/>
        </w:numPr>
        <w:spacing w:line="248" w:lineRule="auto"/>
        <w:ind w:hanging="269"/>
        <w:jc w:val="left"/>
      </w:pPr>
      <w:r>
        <w:rPr>
          <w:b/>
          <w:color w:val="0000FF"/>
          <w:sz w:val="16"/>
        </w:rPr>
        <w:t>CIFRADO.</w:t>
      </w:r>
      <w:r>
        <w:rPr>
          <w:b/>
          <w:sz w:val="16"/>
        </w:rPr>
        <w:t xml:space="preserve"> </w:t>
      </w:r>
    </w:p>
    <w:p w:rsidR="0076001D" w:rsidRDefault="0034129A">
      <w:pPr>
        <w:numPr>
          <w:ilvl w:val="1"/>
          <w:numId w:val="15"/>
        </w:numPr>
        <w:spacing w:line="247" w:lineRule="auto"/>
        <w:ind w:right="15" w:hanging="358"/>
        <w:jc w:val="left"/>
      </w:pPr>
      <w:r>
        <w:rPr>
          <w:color w:val="FF0000"/>
          <w:sz w:val="16"/>
        </w:rPr>
        <w:t>Controles criptográficos.</w:t>
      </w:r>
      <w:r>
        <w:rPr>
          <w:sz w:val="16"/>
        </w:rPr>
        <w:t xml:space="preserve"> </w:t>
      </w:r>
    </w:p>
    <w:p w:rsidR="0076001D" w:rsidRDefault="0034129A">
      <w:pPr>
        <w:numPr>
          <w:ilvl w:val="2"/>
          <w:numId w:val="15"/>
        </w:numPr>
        <w:spacing w:after="1" w:line="238" w:lineRule="auto"/>
        <w:ind w:right="33" w:hanging="490"/>
        <w:jc w:val="left"/>
      </w:pPr>
      <w:r>
        <w:rPr>
          <w:color w:val="4D4D4D"/>
          <w:sz w:val="16"/>
        </w:rPr>
        <w:t>Política de uso de los controles criptográficos.</w:t>
      </w:r>
      <w:r>
        <w:rPr>
          <w:sz w:val="16"/>
        </w:rPr>
        <w:t xml:space="preserve"> </w:t>
      </w:r>
      <w:r>
        <w:rPr>
          <w:color w:val="4D4D4D"/>
          <w:sz w:val="16"/>
        </w:rPr>
        <w:t>10.1.2 Gestión de claves.</w:t>
      </w:r>
      <w:r>
        <w:rPr>
          <w:sz w:val="16"/>
        </w:rPr>
        <w:t xml:space="preserve"> </w:t>
      </w:r>
    </w:p>
    <w:p w:rsidR="0076001D" w:rsidRDefault="0034129A">
      <w:pPr>
        <w:numPr>
          <w:ilvl w:val="0"/>
          <w:numId w:val="15"/>
        </w:numPr>
        <w:spacing w:line="248" w:lineRule="auto"/>
        <w:ind w:hanging="269"/>
        <w:jc w:val="left"/>
      </w:pPr>
      <w:r>
        <w:rPr>
          <w:b/>
          <w:color w:val="0000FF"/>
          <w:sz w:val="16"/>
        </w:rPr>
        <w:t>SEGURIDAD FÍSICA Y AMBIENTAL.</w:t>
      </w:r>
      <w:r>
        <w:rPr>
          <w:b/>
          <w:sz w:val="16"/>
        </w:rPr>
        <w:t xml:space="preserve"> </w:t>
      </w:r>
    </w:p>
    <w:p w:rsidR="0076001D" w:rsidRDefault="0034129A">
      <w:pPr>
        <w:numPr>
          <w:ilvl w:val="1"/>
          <w:numId w:val="15"/>
        </w:numPr>
        <w:spacing w:line="247" w:lineRule="auto"/>
        <w:ind w:right="15" w:hanging="358"/>
        <w:jc w:val="left"/>
      </w:pPr>
      <w:r>
        <w:rPr>
          <w:color w:val="FF0000"/>
          <w:sz w:val="16"/>
        </w:rPr>
        <w:t>Áreas seguras.</w:t>
      </w:r>
      <w:r>
        <w:rPr>
          <w:sz w:val="16"/>
        </w:rPr>
        <w:t xml:space="preserve"> </w:t>
      </w:r>
    </w:p>
    <w:p w:rsidR="0076001D" w:rsidRDefault="0034129A">
      <w:pPr>
        <w:numPr>
          <w:ilvl w:val="2"/>
          <w:numId w:val="15"/>
        </w:numPr>
        <w:spacing w:line="248" w:lineRule="auto"/>
        <w:ind w:right="33" w:hanging="490"/>
        <w:jc w:val="left"/>
      </w:pPr>
      <w:r>
        <w:rPr>
          <w:color w:val="4D4D4D"/>
          <w:sz w:val="16"/>
        </w:rPr>
        <w:t>Perímetro de seguridad física.</w:t>
      </w:r>
      <w:r>
        <w:rPr>
          <w:sz w:val="16"/>
        </w:rPr>
        <w:t xml:space="preserve"> </w:t>
      </w:r>
    </w:p>
    <w:p w:rsidR="0076001D" w:rsidRDefault="0034129A">
      <w:pPr>
        <w:numPr>
          <w:ilvl w:val="2"/>
          <w:numId w:val="15"/>
        </w:numPr>
        <w:spacing w:line="248" w:lineRule="auto"/>
        <w:ind w:right="33" w:hanging="490"/>
        <w:jc w:val="left"/>
      </w:pPr>
      <w:r>
        <w:rPr>
          <w:color w:val="4D4D4D"/>
          <w:sz w:val="16"/>
        </w:rPr>
        <w:t>Controles físicos de entrada.</w:t>
      </w:r>
      <w:r>
        <w:rPr>
          <w:sz w:val="16"/>
        </w:rPr>
        <w:t xml:space="preserve"> </w:t>
      </w:r>
      <w:r>
        <w:rPr>
          <w:color w:val="4D4D4D"/>
          <w:sz w:val="16"/>
        </w:rPr>
        <w:t>11.1.3 Seguridad de oficinas, despachos y recursos.</w:t>
      </w:r>
      <w:r>
        <w:rPr>
          <w:sz w:val="16"/>
        </w:rPr>
        <w:t xml:space="preserve"> </w:t>
      </w:r>
    </w:p>
    <w:p w:rsidR="0076001D" w:rsidRDefault="0034129A">
      <w:pPr>
        <w:spacing w:line="248" w:lineRule="auto"/>
        <w:ind w:left="-5" w:right="124" w:hanging="8"/>
        <w:jc w:val="left"/>
      </w:pPr>
      <w:r>
        <w:rPr>
          <w:color w:val="4D4D4D"/>
          <w:sz w:val="16"/>
        </w:rPr>
        <w:t>11.1.4 Protección contra las amenazas externas y ambientales.</w:t>
      </w:r>
      <w:r>
        <w:rPr>
          <w:sz w:val="16"/>
        </w:rPr>
        <w:t xml:space="preserve"> </w:t>
      </w:r>
      <w:r>
        <w:rPr>
          <w:color w:val="4D4D4D"/>
          <w:sz w:val="16"/>
        </w:rPr>
        <w:t>11.1.5 El trabajo en áreas seguras.</w:t>
      </w:r>
      <w:r>
        <w:rPr>
          <w:sz w:val="16"/>
        </w:rPr>
        <w:t xml:space="preserve"> </w:t>
      </w:r>
    </w:p>
    <w:p w:rsidR="0076001D" w:rsidRDefault="0034129A">
      <w:pPr>
        <w:spacing w:line="248" w:lineRule="auto"/>
        <w:ind w:left="-5" w:right="33" w:hanging="8"/>
        <w:jc w:val="left"/>
      </w:pPr>
      <w:r>
        <w:rPr>
          <w:color w:val="4D4D4D"/>
          <w:sz w:val="16"/>
        </w:rPr>
        <w:t>11.1.6 Áreas de acceso público, carga y descarga.</w:t>
      </w:r>
      <w:r>
        <w:rPr>
          <w:sz w:val="16"/>
        </w:rPr>
        <w:t xml:space="preserve"> </w:t>
      </w:r>
      <w:r>
        <w:rPr>
          <w:color w:val="FF0000"/>
          <w:sz w:val="16"/>
        </w:rPr>
        <w:t>11.2 Seguridad de los equipos.</w:t>
      </w:r>
      <w:r>
        <w:rPr>
          <w:sz w:val="16"/>
        </w:rPr>
        <w:t xml:space="preserve"> </w:t>
      </w:r>
    </w:p>
    <w:p w:rsidR="0076001D" w:rsidRDefault="0034129A">
      <w:pPr>
        <w:numPr>
          <w:ilvl w:val="2"/>
          <w:numId w:val="19"/>
        </w:numPr>
        <w:spacing w:line="248" w:lineRule="auto"/>
        <w:ind w:right="33" w:hanging="492"/>
        <w:jc w:val="left"/>
      </w:pPr>
      <w:r>
        <w:rPr>
          <w:color w:val="4D4D4D"/>
          <w:sz w:val="16"/>
        </w:rPr>
        <w:t>Emplazamiento y protección de equipos.</w:t>
      </w:r>
      <w:r>
        <w:rPr>
          <w:sz w:val="16"/>
        </w:rPr>
        <w:t xml:space="preserve"> </w:t>
      </w:r>
    </w:p>
    <w:p w:rsidR="0076001D" w:rsidRDefault="0034129A">
      <w:pPr>
        <w:numPr>
          <w:ilvl w:val="2"/>
          <w:numId w:val="19"/>
        </w:numPr>
        <w:spacing w:line="248" w:lineRule="auto"/>
        <w:ind w:right="33" w:hanging="492"/>
        <w:jc w:val="left"/>
      </w:pPr>
      <w:r>
        <w:rPr>
          <w:color w:val="4D4D4D"/>
          <w:sz w:val="16"/>
        </w:rPr>
        <w:t>Instalaciones de suministro.</w:t>
      </w:r>
      <w:r>
        <w:rPr>
          <w:sz w:val="16"/>
        </w:rPr>
        <w:t xml:space="preserve"> </w:t>
      </w:r>
    </w:p>
    <w:p w:rsidR="0076001D" w:rsidRDefault="0034129A">
      <w:pPr>
        <w:numPr>
          <w:ilvl w:val="2"/>
          <w:numId w:val="19"/>
        </w:numPr>
        <w:spacing w:line="248" w:lineRule="auto"/>
        <w:ind w:right="33" w:hanging="492"/>
        <w:jc w:val="left"/>
      </w:pPr>
      <w:r>
        <w:rPr>
          <w:color w:val="4D4D4D"/>
          <w:sz w:val="16"/>
        </w:rPr>
        <w:t>Seguridad del cableado.</w:t>
      </w:r>
      <w:r>
        <w:rPr>
          <w:sz w:val="16"/>
        </w:rPr>
        <w:t xml:space="preserve"> </w:t>
      </w:r>
    </w:p>
    <w:p w:rsidR="0076001D" w:rsidRDefault="0034129A">
      <w:pPr>
        <w:numPr>
          <w:ilvl w:val="2"/>
          <w:numId w:val="19"/>
        </w:numPr>
        <w:spacing w:line="248" w:lineRule="auto"/>
        <w:ind w:right="33" w:hanging="492"/>
        <w:jc w:val="left"/>
      </w:pPr>
      <w:r>
        <w:rPr>
          <w:color w:val="4D4D4D"/>
          <w:sz w:val="16"/>
        </w:rPr>
        <w:t>Mantenimiento de los equipos.</w:t>
      </w:r>
      <w:r>
        <w:rPr>
          <w:sz w:val="16"/>
        </w:rPr>
        <w:t xml:space="preserve"> </w:t>
      </w:r>
      <w:r>
        <w:rPr>
          <w:color w:val="4D4D4D"/>
          <w:sz w:val="16"/>
        </w:rPr>
        <w:t>11.2.5 Salida de activos fuera de las dependencias de la empresa.</w:t>
      </w:r>
      <w:r>
        <w:rPr>
          <w:sz w:val="16"/>
        </w:rPr>
        <w:t xml:space="preserve"> </w:t>
      </w:r>
    </w:p>
    <w:p w:rsidR="0076001D" w:rsidRDefault="0034129A">
      <w:pPr>
        <w:numPr>
          <w:ilvl w:val="2"/>
          <w:numId w:val="20"/>
        </w:numPr>
        <w:spacing w:line="248" w:lineRule="auto"/>
        <w:ind w:right="33" w:hanging="8"/>
        <w:jc w:val="left"/>
      </w:pPr>
      <w:r>
        <w:rPr>
          <w:color w:val="4D4D4D"/>
          <w:sz w:val="16"/>
        </w:rPr>
        <w:t>Seguridad de los equipos y activos fuera de las instalaciones.</w:t>
      </w:r>
      <w:r>
        <w:rPr>
          <w:sz w:val="16"/>
        </w:rPr>
        <w:t xml:space="preserve"> </w:t>
      </w:r>
    </w:p>
    <w:p w:rsidR="0076001D" w:rsidRDefault="0034129A">
      <w:pPr>
        <w:numPr>
          <w:ilvl w:val="2"/>
          <w:numId w:val="20"/>
        </w:numPr>
        <w:spacing w:line="248" w:lineRule="auto"/>
        <w:ind w:right="33" w:hanging="8"/>
        <w:jc w:val="left"/>
      </w:pPr>
      <w:r>
        <w:rPr>
          <w:color w:val="4D4D4D"/>
          <w:sz w:val="16"/>
        </w:rPr>
        <w:t>Reutilización o retirada segura de dispositivos de almacenamiento.</w:t>
      </w:r>
      <w:r>
        <w:rPr>
          <w:sz w:val="16"/>
        </w:rPr>
        <w:t xml:space="preserve"> </w:t>
      </w:r>
    </w:p>
    <w:p w:rsidR="0076001D" w:rsidRDefault="0034129A">
      <w:pPr>
        <w:numPr>
          <w:ilvl w:val="2"/>
          <w:numId w:val="20"/>
        </w:numPr>
        <w:spacing w:line="248" w:lineRule="auto"/>
        <w:ind w:right="33" w:hanging="8"/>
        <w:jc w:val="left"/>
      </w:pPr>
      <w:r>
        <w:rPr>
          <w:color w:val="4D4D4D"/>
          <w:sz w:val="16"/>
        </w:rPr>
        <w:t>Equipo informático de usuario desatendido.</w:t>
      </w:r>
      <w:r>
        <w:rPr>
          <w:sz w:val="16"/>
        </w:rPr>
        <w:t xml:space="preserve"> </w:t>
      </w:r>
    </w:p>
    <w:p w:rsidR="0076001D" w:rsidRDefault="0034129A">
      <w:pPr>
        <w:numPr>
          <w:ilvl w:val="2"/>
          <w:numId w:val="20"/>
        </w:numPr>
        <w:spacing w:line="248" w:lineRule="auto"/>
        <w:ind w:right="33" w:hanging="8"/>
        <w:jc w:val="left"/>
      </w:pPr>
      <w:r>
        <w:rPr>
          <w:color w:val="4D4D4D"/>
          <w:sz w:val="16"/>
        </w:rPr>
        <w:t>Política de puesto de trabajo despejado y bloqueo de pantalla.</w:t>
      </w:r>
      <w:r>
        <w:rPr>
          <w:sz w:val="16"/>
        </w:rPr>
        <w:t xml:space="preserve"> </w:t>
      </w:r>
      <w:r>
        <w:rPr>
          <w:b/>
          <w:color w:val="0000FF"/>
          <w:sz w:val="16"/>
        </w:rPr>
        <w:t>12. SEGURIDAD EN LA OPERATIVA.</w:t>
      </w:r>
      <w:r>
        <w:rPr>
          <w:b/>
          <w:sz w:val="16"/>
        </w:rPr>
        <w:t xml:space="preserve"> </w:t>
      </w:r>
      <w:r>
        <w:rPr>
          <w:color w:val="FF0000"/>
          <w:sz w:val="16"/>
        </w:rPr>
        <w:t>12.1 Responsabilidades y procedimientos de operación.</w:t>
      </w:r>
      <w:r>
        <w:rPr>
          <w:sz w:val="16"/>
        </w:rPr>
        <w:t xml:space="preserve"> </w:t>
      </w:r>
      <w:r>
        <w:rPr>
          <w:color w:val="4D4D4D"/>
          <w:sz w:val="16"/>
        </w:rPr>
        <w:t>12.1.1 Documentación de procedimientos de operación.</w:t>
      </w:r>
      <w:r>
        <w:rPr>
          <w:sz w:val="16"/>
        </w:rPr>
        <w:t xml:space="preserve"> </w:t>
      </w:r>
    </w:p>
    <w:p w:rsidR="0076001D" w:rsidRDefault="0034129A">
      <w:pPr>
        <w:numPr>
          <w:ilvl w:val="2"/>
          <w:numId w:val="23"/>
        </w:numPr>
        <w:spacing w:line="248" w:lineRule="auto"/>
        <w:ind w:right="33" w:hanging="492"/>
        <w:jc w:val="left"/>
      </w:pPr>
      <w:r>
        <w:rPr>
          <w:color w:val="4D4D4D"/>
          <w:sz w:val="16"/>
        </w:rPr>
        <w:t>Gestión de cambios.</w:t>
      </w:r>
      <w:r>
        <w:rPr>
          <w:sz w:val="16"/>
        </w:rPr>
        <w:t xml:space="preserve"> </w:t>
      </w:r>
    </w:p>
    <w:p w:rsidR="0076001D" w:rsidRDefault="0034129A">
      <w:pPr>
        <w:numPr>
          <w:ilvl w:val="2"/>
          <w:numId w:val="23"/>
        </w:numPr>
        <w:spacing w:line="248" w:lineRule="auto"/>
        <w:ind w:right="33" w:hanging="492"/>
        <w:jc w:val="left"/>
      </w:pPr>
      <w:r>
        <w:rPr>
          <w:color w:val="4D4D4D"/>
          <w:sz w:val="16"/>
        </w:rPr>
        <w:t>Gestión de capacidades.</w:t>
      </w:r>
      <w:r>
        <w:rPr>
          <w:sz w:val="16"/>
        </w:rPr>
        <w:t xml:space="preserve"> </w:t>
      </w:r>
    </w:p>
    <w:p w:rsidR="0076001D" w:rsidRDefault="0034129A">
      <w:pPr>
        <w:numPr>
          <w:ilvl w:val="2"/>
          <w:numId w:val="23"/>
        </w:numPr>
        <w:spacing w:line="248" w:lineRule="auto"/>
        <w:ind w:right="33" w:hanging="492"/>
        <w:jc w:val="left"/>
      </w:pPr>
      <w:r>
        <w:rPr>
          <w:color w:val="4D4D4D"/>
          <w:sz w:val="16"/>
        </w:rPr>
        <w:t>Separación de entornos de desarrollo, prueba y producción.</w:t>
      </w:r>
      <w:r>
        <w:rPr>
          <w:sz w:val="16"/>
        </w:rPr>
        <w:t xml:space="preserve"> </w:t>
      </w:r>
      <w:r>
        <w:rPr>
          <w:color w:val="FF0000"/>
          <w:sz w:val="16"/>
        </w:rPr>
        <w:t xml:space="preserve">12.2 </w:t>
      </w:r>
      <w:r>
        <w:rPr>
          <w:color w:val="FF0000"/>
          <w:sz w:val="16"/>
        </w:rPr>
        <w:lastRenderedPageBreak/>
        <w:t>Protección contra código malicioso.</w:t>
      </w:r>
      <w:r>
        <w:rPr>
          <w:sz w:val="16"/>
        </w:rPr>
        <w:t xml:space="preserve"> </w:t>
      </w:r>
    </w:p>
    <w:p w:rsidR="0076001D" w:rsidRDefault="0034129A">
      <w:pPr>
        <w:spacing w:line="248" w:lineRule="auto"/>
        <w:ind w:left="-5" w:right="539" w:hanging="8"/>
        <w:jc w:val="left"/>
      </w:pPr>
      <w:r>
        <w:rPr>
          <w:color w:val="4D4D4D"/>
          <w:sz w:val="16"/>
        </w:rPr>
        <w:t>12.2.1 Controles contra el código malicioso.</w:t>
      </w:r>
      <w:r>
        <w:rPr>
          <w:sz w:val="16"/>
        </w:rPr>
        <w:t xml:space="preserve"> </w:t>
      </w:r>
      <w:r>
        <w:rPr>
          <w:color w:val="FF0000"/>
          <w:sz w:val="16"/>
        </w:rPr>
        <w:t>12.3 Copias de seguridad.</w:t>
      </w:r>
      <w:r>
        <w:rPr>
          <w:sz w:val="16"/>
        </w:rPr>
        <w:t xml:space="preserve"> </w:t>
      </w:r>
    </w:p>
    <w:p w:rsidR="0076001D" w:rsidRDefault="0034129A">
      <w:pPr>
        <w:spacing w:line="248" w:lineRule="auto"/>
        <w:ind w:left="-5" w:right="33" w:hanging="8"/>
        <w:jc w:val="left"/>
      </w:pPr>
      <w:r>
        <w:rPr>
          <w:color w:val="4D4D4D"/>
          <w:sz w:val="16"/>
        </w:rPr>
        <w:t>12.3.1 Copias de seguridad de la información.</w:t>
      </w:r>
      <w:r>
        <w:rPr>
          <w:sz w:val="16"/>
        </w:rPr>
        <w:t xml:space="preserve"> </w:t>
      </w:r>
    </w:p>
    <w:p w:rsidR="0076001D" w:rsidRDefault="0034129A">
      <w:pPr>
        <w:spacing w:line="247" w:lineRule="auto"/>
        <w:ind w:left="-5" w:right="15" w:hanging="8"/>
        <w:jc w:val="left"/>
      </w:pPr>
      <w:r>
        <w:rPr>
          <w:color w:val="FF0000"/>
          <w:sz w:val="16"/>
        </w:rPr>
        <w:t>12.4 Registro de actividad y supervisión.</w:t>
      </w:r>
      <w:r>
        <w:rPr>
          <w:sz w:val="16"/>
        </w:rPr>
        <w:t xml:space="preserve"> </w:t>
      </w:r>
    </w:p>
    <w:p w:rsidR="0076001D" w:rsidRDefault="0034129A">
      <w:pPr>
        <w:numPr>
          <w:ilvl w:val="2"/>
          <w:numId w:val="22"/>
        </w:numPr>
        <w:spacing w:line="248" w:lineRule="auto"/>
        <w:ind w:right="33" w:hanging="8"/>
        <w:jc w:val="left"/>
      </w:pPr>
      <w:r>
        <w:rPr>
          <w:color w:val="4D4D4D"/>
          <w:sz w:val="16"/>
        </w:rPr>
        <w:t>Registro y gestión de eventos de actividad.</w:t>
      </w:r>
      <w:r>
        <w:rPr>
          <w:sz w:val="16"/>
        </w:rPr>
        <w:t xml:space="preserve"> </w:t>
      </w:r>
    </w:p>
    <w:p w:rsidR="0076001D" w:rsidRDefault="0034129A">
      <w:pPr>
        <w:numPr>
          <w:ilvl w:val="2"/>
          <w:numId w:val="22"/>
        </w:numPr>
        <w:spacing w:line="248" w:lineRule="auto"/>
        <w:ind w:right="33" w:hanging="8"/>
        <w:jc w:val="left"/>
      </w:pPr>
      <w:r>
        <w:rPr>
          <w:color w:val="4D4D4D"/>
          <w:sz w:val="16"/>
        </w:rPr>
        <w:t>Protección de los registros de información.</w:t>
      </w:r>
      <w:r>
        <w:rPr>
          <w:sz w:val="16"/>
        </w:rPr>
        <w:t xml:space="preserve"> </w:t>
      </w:r>
    </w:p>
    <w:p w:rsidR="0076001D" w:rsidRDefault="0034129A">
      <w:pPr>
        <w:numPr>
          <w:ilvl w:val="2"/>
          <w:numId w:val="22"/>
        </w:numPr>
        <w:spacing w:line="248" w:lineRule="auto"/>
        <w:ind w:right="33" w:hanging="8"/>
        <w:jc w:val="left"/>
      </w:pPr>
      <w:r>
        <w:rPr>
          <w:color w:val="4D4D4D"/>
          <w:sz w:val="16"/>
        </w:rPr>
        <w:t>Registros de actividad del administrador y operador del sistema.</w:t>
      </w:r>
      <w:r>
        <w:rPr>
          <w:sz w:val="16"/>
        </w:rPr>
        <w:t xml:space="preserve"> </w:t>
      </w:r>
    </w:p>
    <w:p w:rsidR="0076001D" w:rsidRDefault="0034129A">
      <w:pPr>
        <w:numPr>
          <w:ilvl w:val="2"/>
          <w:numId w:val="22"/>
        </w:numPr>
        <w:spacing w:line="247" w:lineRule="auto"/>
        <w:ind w:right="33" w:hanging="8"/>
        <w:jc w:val="left"/>
      </w:pPr>
      <w:r>
        <w:rPr>
          <w:color w:val="4D4D4D"/>
          <w:sz w:val="16"/>
        </w:rPr>
        <w:t>Sincronización de relojes.</w:t>
      </w:r>
      <w:r>
        <w:rPr>
          <w:sz w:val="16"/>
        </w:rPr>
        <w:t xml:space="preserve"> </w:t>
      </w:r>
      <w:r>
        <w:rPr>
          <w:color w:val="FF0000"/>
          <w:sz w:val="16"/>
        </w:rPr>
        <w:t>12.5 Control del software en explotación.</w:t>
      </w:r>
      <w:r>
        <w:rPr>
          <w:sz w:val="16"/>
        </w:rPr>
        <w:t xml:space="preserve"> </w:t>
      </w:r>
    </w:p>
    <w:p w:rsidR="0076001D" w:rsidRDefault="0034129A">
      <w:pPr>
        <w:spacing w:line="248" w:lineRule="auto"/>
        <w:ind w:left="-5" w:right="33" w:hanging="8"/>
        <w:jc w:val="left"/>
      </w:pPr>
      <w:r>
        <w:rPr>
          <w:color w:val="4D4D4D"/>
          <w:sz w:val="16"/>
        </w:rPr>
        <w:t>12.5.1 Instalación del software en sistemas en producción.</w:t>
      </w:r>
      <w:r>
        <w:rPr>
          <w:sz w:val="16"/>
        </w:rPr>
        <w:t xml:space="preserve"> </w:t>
      </w:r>
    </w:p>
    <w:p w:rsidR="0076001D" w:rsidRDefault="0034129A">
      <w:pPr>
        <w:spacing w:line="247" w:lineRule="auto"/>
        <w:ind w:left="-5" w:right="15" w:hanging="8"/>
        <w:jc w:val="left"/>
      </w:pPr>
      <w:r>
        <w:rPr>
          <w:color w:val="FF0000"/>
          <w:sz w:val="16"/>
        </w:rPr>
        <w:t>12.6 Gestión de la vulnerabilidad técnica.</w:t>
      </w:r>
      <w:r>
        <w:rPr>
          <w:sz w:val="16"/>
        </w:rPr>
        <w:t xml:space="preserve"> </w:t>
      </w:r>
    </w:p>
    <w:p w:rsidR="0076001D" w:rsidRDefault="0034129A">
      <w:pPr>
        <w:numPr>
          <w:ilvl w:val="2"/>
          <w:numId w:val="21"/>
        </w:numPr>
        <w:spacing w:line="248" w:lineRule="auto"/>
        <w:ind w:right="33" w:hanging="8"/>
        <w:jc w:val="left"/>
      </w:pPr>
      <w:r>
        <w:rPr>
          <w:color w:val="4D4D4D"/>
          <w:sz w:val="16"/>
        </w:rPr>
        <w:t>Gestión de las vulnerabilidades técnicas.</w:t>
      </w:r>
      <w:r>
        <w:rPr>
          <w:sz w:val="16"/>
        </w:rPr>
        <w:t xml:space="preserve"> </w:t>
      </w:r>
    </w:p>
    <w:p w:rsidR="0076001D" w:rsidRDefault="0034129A">
      <w:pPr>
        <w:numPr>
          <w:ilvl w:val="2"/>
          <w:numId w:val="21"/>
        </w:numPr>
        <w:spacing w:line="248" w:lineRule="auto"/>
        <w:ind w:right="33" w:hanging="8"/>
        <w:jc w:val="left"/>
      </w:pPr>
      <w:r>
        <w:rPr>
          <w:color w:val="4D4D4D"/>
          <w:sz w:val="16"/>
        </w:rPr>
        <w:t>Restricciones en la instalación de software.</w:t>
      </w:r>
      <w:r>
        <w:rPr>
          <w:sz w:val="16"/>
        </w:rPr>
        <w:t xml:space="preserve"> </w:t>
      </w:r>
    </w:p>
    <w:p w:rsidR="0076001D" w:rsidRDefault="0034129A">
      <w:pPr>
        <w:spacing w:line="247" w:lineRule="auto"/>
        <w:ind w:left="-5" w:right="15" w:hanging="8"/>
        <w:jc w:val="left"/>
      </w:pPr>
      <w:r>
        <w:rPr>
          <w:color w:val="FF0000"/>
          <w:sz w:val="16"/>
        </w:rPr>
        <w:t>12.7 Consideraciones de las auditorías de los sistemas de información.</w:t>
      </w:r>
      <w:r>
        <w:rPr>
          <w:sz w:val="16"/>
        </w:rPr>
        <w:t xml:space="preserve"> </w:t>
      </w:r>
    </w:p>
    <w:p w:rsidR="0076001D" w:rsidRDefault="0034129A">
      <w:pPr>
        <w:spacing w:line="248" w:lineRule="auto"/>
        <w:ind w:left="-5" w:right="33" w:hanging="8"/>
        <w:jc w:val="left"/>
      </w:pPr>
      <w:r>
        <w:rPr>
          <w:color w:val="4D4D4D"/>
          <w:sz w:val="16"/>
        </w:rPr>
        <w:t>12.7.1 Controles de auditoría de los sistemas de información.</w:t>
      </w:r>
      <w:r>
        <w:rPr>
          <w:sz w:val="16"/>
        </w:rPr>
        <w:t xml:space="preserve"> </w:t>
      </w:r>
    </w:p>
    <w:p w:rsidR="0076001D" w:rsidRDefault="0034129A">
      <w:pPr>
        <w:numPr>
          <w:ilvl w:val="0"/>
          <w:numId w:val="24"/>
        </w:numPr>
        <w:spacing w:line="248" w:lineRule="auto"/>
        <w:ind w:hanging="269"/>
        <w:jc w:val="left"/>
      </w:pPr>
      <w:r>
        <w:rPr>
          <w:b/>
          <w:color w:val="0000FF"/>
          <w:sz w:val="16"/>
        </w:rPr>
        <w:t xml:space="preserve">SEGURIDAD EN LAS </w:t>
      </w:r>
    </w:p>
    <w:p w:rsidR="0076001D" w:rsidRDefault="0034129A">
      <w:pPr>
        <w:spacing w:line="248" w:lineRule="auto"/>
        <w:ind w:left="-3" w:hanging="10"/>
        <w:jc w:val="left"/>
      </w:pPr>
      <w:r>
        <w:rPr>
          <w:b/>
          <w:color w:val="0000FF"/>
          <w:sz w:val="16"/>
        </w:rPr>
        <w:t>TELECOMUNICACIONES.</w:t>
      </w:r>
      <w:r>
        <w:rPr>
          <w:b/>
          <w:sz w:val="16"/>
        </w:rPr>
        <w:t xml:space="preserve"> </w:t>
      </w:r>
    </w:p>
    <w:p w:rsidR="0076001D" w:rsidRDefault="0034129A">
      <w:pPr>
        <w:numPr>
          <w:ilvl w:val="1"/>
          <w:numId w:val="24"/>
        </w:numPr>
        <w:spacing w:line="247" w:lineRule="auto"/>
        <w:ind w:right="15" w:hanging="360"/>
        <w:jc w:val="left"/>
      </w:pPr>
      <w:r>
        <w:rPr>
          <w:color w:val="FF0000"/>
          <w:sz w:val="16"/>
        </w:rPr>
        <w:t>Gestión de la seguridad en las redes.</w:t>
      </w:r>
      <w:r>
        <w:rPr>
          <w:sz w:val="16"/>
        </w:rPr>
        <w:t xml:space="preserve"> </w:t>
      </w:r>
      <w:r>
        <w:rPr>
          <w:color w:val="4D4D4D"/>
          <w:sz w:val="16"/>
        </w:rPr>
        <w:t>13.1.1 Controles de red.</w:t>
      </w:r>
      <w:r>
        <w:rPr>
          <w:sz w:val="16"/>
        </w:rPr>
        <w:t xml:space="preserve"> </w:t>
      </w:r>
    </w:p>
    <w:p w:rsidR="0076001D" w:rsidRDefault="0034129A">
      <w:pPr>
        <w:spacing w:line="248" w:lineRule="auto"/>
        <w:ind w:left="-5" w:right="300" w:hanging="8"/>
        <w:jc w:val="left"/>
      </w:pPr>
      <w:r>
        <w:rPr>
          <w:color w:val="4D4D4D"/>
          <w:sz w:val="16"/>
        </w:rPr>
        <w:t>13.1.2 Mecanismos de seguridad asociados a servicios en red.</w:t>
      </w:r>
      <w:r>
        <w:rPr>
          <w:sz w:val="16"/>
        </w:rPr>
        <w:t xml:space="preserve"> </w:t>
      </w:r>
      <w:r>
        <w:rPr>
          <w:color w:val="4D4D4D"/>
          <w:sz w:val="16"/>
        </w:rPr>
        <w:t>13.1.3 Segregación de redes.</w:t>
      </w:r>
      <w:r>
        <w:rPr>
          <w:sz w:val="16"/>
        </w:rPr>
        <w:t xml:space="preserve"> </w:t>
      </w:r>
    </w:p>
    <w:p w:rsidR="0076001D" w:rsidRDefault="0034129A">
      <w:pPr>
        <w:numPr>
          <w:ilvl w:val="1"/>
          <w:numId w:val="24"/>
        </w:numPr>
        <w:spacing w:line="247" w:lineRule="auto"/>
        <w:ind w:right="15" w:hanging="360"/>
        <w:jc w:val="left"/>
      </w:pPr>
      <w:r>
        <w:rPr>
          <w:color w:val="FF0000"/>
          <w:sz w:val="16"/>
        </w:rPr>
        <w:t>Intercambio de información con partes externas.</w:t>
      </w:r>
      <w:r>
        <w:rPr>
          <w:sz w:val="16"/>
        </w:rPr>
        <w:t xml:space="preserve"> </w:t>
      </w:r>
    </w:p>
    <w:p w:rsidR="0076001D" w:rsidRDefault="0034129A">
      <w:pPr>
        <w:numPr>
          <w:ilvl w:val="2"/>
          <w:numId w:val="24"/>
        </w:numPr>
        <w:spacing w:line="248" w:lineRule="auto"/>
        <w:ind w:right="33" w:hanging="492"/>
        <w:jc w:val="left"/>
      </w:pPr>
      <w:r>
        <w:rPr>
          <w:color w:val="4D4D4D"/>
          <w:sz w:val="16"/>
        </w:rPr>
        <w:t>Políticas y procedimientos de intercambio de información.</w:t>
      </w:r>
      <w:r>
        <w:rPr>
          <w:sz w:val="16"/>
        </w:rPr>
        <w:t xml:space="preserve"> </w:t>
      </w:r>
    </w:p>
    <w:p w:rsidR="0076001D" w:rsidRDefault="0034129A">
      <w:pPr>
        <w:numPr>
          <w:ilvl w:val="2"/>
          <w:numId w:val="24"/>
        </w:numPr>
        <w:spacing w:line="248" w:lineRule="auto"/>
        <w:ind w:right="33" w:hanging="492"/>
        <w:jc w:val="left"/>
      </w:pPr>
      <w:r>
        <w:rPr>
          <w:color w:val="4D4D4D"/>
          <w:sz w:val="16"/>
        </w:rPr>
        <w:t>Acuerdos de intercambio.</w:t>
      </w:r>
      <w:r>
        <w:rPr>
          <w:sz w:val="16"/>
        </w:rPr>
        <w:t xml:space="preserve"> </w:t>
      </w:r>
    </w:p>
    <w:p w:rsidR="0076001D" w:rsidRDefault="0034129A">
      <w:pPr>
        <w:numPr>
          <w:ilvl w:val="2"/>
          <w:numId w:val="24"/>
        </w:numPr>
        <w:spacing w:line="248" w:lineRule="auto"/>
        <w:ind w:right="33" w:hanging="492"/>
        <w:jc w:val="left"/>
      </w:pPr>
      <w:r>
        <w:rPr>
          <w:color w:val="4D4D4D"/>
          <w:sz w:val="16"/>
        </w:rPr>
        <w:t>Mensajería electrónica.</w:t>
      </w:r>
      <w:r>
        <w:rPr>
          <w:sz w:val="16"/>
        </w:rPr>
        <w:t xml:space="preserve"> </w:t>
      </w:r>
    </w:p>
    <w:p w:rsidR="0076001D" w:rsidRDefault="0034129A">
      <w:pPr>
        <w:numPr>
          <w:ilvl w:val="2"/>
          <w:numId w:val="24"/>
        </w:numPr>
        <w:spacing w:line="248" w:lineRule="auto"/>
        <w:ind w:right="33" w:hanging="492"/>
        <w:jc w:val="left"/>
      </w:pPr>
      <w:r>
        <w:rPr>
          <w:color w:val="4D4D4D"/>
          <w:sz w:val="16"/>
        </w:rPr>
        <w:t>Acuerdos de confidencialidad y secreto.</w:t>
      </w:r>
      <w:r>
        <w:rPr>
          <w:sz w:val="16"/>
        </w:rPr>
        <w:t xml:space="preserve"> </w:t>
      </w:r>
    </w:p>
    <w:p w:rsidR="0076001D" w:rsidRDefault="0034129A">
      <w:pPr>
        <w:numPr>
          <w:ilvl w:val="0"/>
          <w:numId w:val="24"/>
        </w:numPr>
        <w:spacing w:line="248" w:lineRule="auto"/>
        <w:ind w:hanging="269"/>
        <w:jc w:val="left"/>
      </w:pPr>
      <w:r>
        <w:rPr>
          <w:b/>
          <w:color w:val="0000FF"/>
          <w:sz w:val="16"/>
        </w:rPr>
        <w:t xml:space="preserve">ADQUISICIÓN, DESARROLLO Y </w:t>
      </w:r>
    </w:p>
    <w:p w:rsidR="0076001D" w:rsidRDefault="0034129A">
      <w:pPr>
        <w:spacing w:line="248" w:lineRule="auto"/>
        <w:ind w:left="-3" w:hanging="10"/>
        <w:jc w:val="left"/>
      </w:pPr>
      <w:r>
        <w:rPr>
          <w:b/>
          <w:color w:val="0000FF"/>
          <w:sz w:val="16"/>
        </w:rPr>
        <w:t>MANTENIMIENTO DE LOS SISTEMAS</w:t>
      </w:r>
      <w:r>
        <w:rPr>
          <w:b/>
          <w:sz w:val="16"/>
        </w:rPr>
        <w:t xml:space="preserve"> </w:t>
      </w:r>
    </w:p>
    <w:p w:rsidR="0076001D" w:rsidRDefault="0034129A">
      <w:pPr>
        <w:spacing w:line="248" w:lineRule="auto"/>
        <w:ind w:left="-3" w:hanging="10"/>
        <w:jc w:val="left"/>
      </w:pPr>
      <w:r>
        <w:rPr>
          <w:b/>
          <w:color w:val="0000FF"/>
          <w:sz w:val="16"/>
        </w:rPr>
        <w:t>DE INFORMACIÓN.</w:t>
      </w:r>
      <w:r>
        <w:rPr>
          <w:b/>
          <w:sz w:val="16"/>
        </w:rPr>
        <w:t xml:space="preserve"> </w:t>
      </w:r>
    </w:p>
    <w:p w:rsidR="0076001D" w:rsidRDefault="0034129A">
      <w:pPr>
        <w:numPr>
          <w:ilvl w:val="1"/>
          <w:numId w:val="24"/>
        </w:numPr>
        <w:spacing w:line="247" w:lineRule="auto"/>
        <w:ind w:right="15" w:hanging="360"/>
        <w:jc w:val="left"/>
      </w:pPr>
      <w:r>
        <w:rPr>
          <w:color w:val="FF0000"/>
          <w:sz w:val="16"/>
        </w:rPr>
        <w:t>Requisitos de seguridad de los sistemas de información.</w:t>
      </w:r>
      <w:r>
        <w:rPr>
          <w:sz w:val="16"/>
        </w:rPr>
        <w:t xml:space="preserve"> </w:t>
      </w:r>
    </w:p>
    <w:p w:rsidR="0076001D" w:rsidRDefault="0034129A">
      <w:pPr>
        <w:numPr>
          <w:ilvl w:val="2"/>
          <w:numId w:val="24"/>
        </w:numPr>
        <w:spacing w:line="248" w:lineRule="auto"/>
        <w:ind w:right="33" w:hanging="492"/>
        <w:jc w:val="left"/>
      </w:pPr>
      <w:r>
        <w:rPr>
          <w:color w:val="4D4D4D"/>
          <w:sz w:val="16"/>
        </w:rPr>
        <w:t>Análisis y especificación de los requisitos de seguridad.</w:t>
      </w:r>
      <w:r>
        <w:rPr>
          <w:sz w:val="16"/>
        </w:rPr>
        <w:t xml:space="preserve"> </w:t>
      </w:r>
      <w:r>
        <w:rPr>
          <w:color w:val="4D4D4D"/>
          <w:sz w:val="16"/>
        </w:rPr>
        <w:t>14.1.2 Seguridad de las comunicaciones en servicios accesibles por redes públicas.</w:t>
      </w:r>
      <w:r>
        <w:rPr>
          <w:sz w:val="16"/>
        </w:rPr>
        <w:t xml:space="preserve"> </w:t>
      </w:r>
    </w:p>
    <w:p w:rsidR="0076001D" w:rsidRDefault="0034129A">
      <w:pPr>
        <w:spacing w:line="248" w:lineRule="auto"/>
        <w:ind w:left="-5" w:right="33" w:hanging="8"/>
        <w:jc w:val="left"/>
      </w:pPr>
      <w:r>
        <w:rPr>
          <w:color w:val="4D4D4D"/>
          <w:sz w:val="16"/>
        </w:rPr>
        <w:t>14.1.3 Protección de las transacciones por redes telemáticas.</w:t>
      </w:r>
      <w:r>
        <w:rPr>
          <w:sz w:val="16"/>
        </w:rPr>
        <w:t xml:space="preserve"> </w:t>
      </w:r>
    </w:p>
    <w:p w:rsidR="0076001D" w:rsidRDefault="0034129A">
      <w:pPr>
        <w:numPr>
          <w:ilvl w:val="1"/>
          <w:numId w:val="24"/>
        </w:numPr>
        <w:spacing w:line="247" w:lineRule="auto"/>
        <w:ind w:right="15" w:hanging="360"/>
        <w:jc w:val="left"/>
      </w:pPr>
      <w:r>
        <w:rPr>
          <w:color w:val="FF0000"/>
          <w:sz w:val="16"/>
        </w:rPr>
        <w:t>Seguridad en los procesos de desarrollo y soporte.</w:t>
      </w:r>
      <w:r>
        <w:rPr>
          <w:sz w:val="16"/>
        </w:rPr>
        <w:t xml:space="preserve"> </w:t>
      </w:r>
    </w:p>
    <w:p w:rsidR="0076001D" w:rsidRDefault="0034129A">
      <w:pPr>
        <w:numPr>
          <w:ilvl w:val="2"/>
          <w:numId w:val="24"/>
        </w:numPr>
        <w:spacing w:line="248" w:lineRule="auto"/>
        <w:ind w:right="33" w:hanging="492"/>
        <w:jc w:val="left"/>
      </w:pPr>
      <w:r>
        <w:rPr>
          <w:color w:val="4D4D4D"/>
          <w:sz w:val="16"/>
        </w:rPr>
        <w:t>Política de desarrollo seguro de software.</w:t>
      </w:r>
      <w:r>
        <w:rPr>
          <w:sz w:val="16"/>
        </w:rPr>
        <w:t xml:space="preserve"> </w:t>
      </w:r>
    </w:p>
    <w:p w:rsidR="0076001D" w:rsidRDefault="0034129A">
      <w:pPr>
        <w:numPr>
          <w:ilvl w:val="2"/>
          <w:numId w:val="24"/>
        </w:numPr>
        <w:spacing w:line="248" w:lineRule="auto"/>
        <w:ind w:right="33" w:hanging="492"/>
        <w:jc w:val="left"/>
      </w:pPr>
      <w:r>
        <w:rPr>
          <w:color w:val="4D4D4D"/>
          <w:sz w:val="16"/>
        </w:rPr>
        <w:t xml:space="preserve">Procedimientos de control de cambios </w:t>
      </w:r>
      <w:r>
        <w:rPr>
          <w:color w:val="4D4D4D"/>
          <w:sz w:val="16"/>
        </w:rPr>
        <w:t>en los sistemas.</w:t>
      </w:r>
      <w:r>
        <w:rPr>
          <w:sz w:val="16"/>
        </w:rPr>
        <w:t xml:space="preserve"> </w:t>
      </w:r>
    </w:p>
    <w:p w:rsidR="0076001D" w:rsidRDefault="0034129A">
      <w:pPr>
        <w:numPr>
          <w:ilvl w:val="2"/>
          <w:numId w:val="24"/>
        </w:numPr>
        <w:spacing w:after="1" w:line="238" w:lineRule="auto"/>
        <w:ind w:right="33" w:hanging="492"/>
        <w:jc w:val="left"/>
      </w:pPr>
      <w:r>
        <w:rPr>
          <w:color w:val="4D4D4D"/>
          <w:sz w:val="16"/>
        </w:rPr>
        <w:t>Revisión técnica de las aplicaciones tras efectuar cambios en el sistema operativo.</w:t>
      </w:r>
      <w:r>
        <w:rPr>
          <w:sz w:val="16"/>
        </w:rPr>
        <w:t xml:space="preserve"> </w:t>
      </w:r>
    </w:p>
    <w:p w:rsidR="0076001D" w:rsidRDefault="0034129A">
      <w:pPr>
        <w:numPr>
          <w:ilvl w:val="2"/>
          <w:numId w:val="24"/>
        </w:numPr>
        <w:spacing w:line="248" w:lineRule="auto"/>
        <w:ind w:right="33" w:hanging="492"/>
        <w:jc w:val="left"/>
      </w:pPr>
      <w:r>
        <w:rPr>
          <w:color w:val="4D4D4D"/>
          <w:sz w:val="16"/>
        </w:rPr>
        <w:t>Restricciones a los cambios en los paquetes de software.</w:t>
      </w:r>
      <w:r>
        <w:rPr>
          <w:sz w:val="16"/>
        </w:rPr>
        <w:t xml:space="preserve"> </w:t>
      </w:r>
    </w:p>
    <w:p w:rsidR="0076001D" w:rsidRDefault="0034129A">
      <w:pPr>
        <w:numPr>
          <w:ilvl w:val="2"/>
          <w:numId w:val="24"/>
        </w:numPr>
        <w:spacing w:line="248" w:lineRule="auto"/>
        <w:ind w:right="33" w:hanging="492"/>
        <w:jc w:val="left"/>
      </w:pPr>
      <w:r>
        <w:rPr>
          <w:color w:val="4D4D4D"/>
          <w:sz w:val="16"/>
        </w:rPr>
        <w:t>Uso de principios de ingeniería en protección de sistemas.</w:t>
      </w:r>
      <w:r>
        <w:rPr>
          <w:sz w:val="16"/>
        </w:rPr>
        <w:t xml:space="preserve"> </w:t>
      </w:r>
    </w:p>
    <w:p w:rsidR="0076001D" w:rsidRDefault="0034129A">
      <w:pPr>
        <w:numPr>
          <w:ilvl w:val="2"/>
          <w:numId w:val="24"/>
        </w:numPr>
        <w:spacing w:line="248" w:lineRule="auto"/>
        <w:ind w:right="33" w:hanging="492"/>
        <w:jc w:val="left"/>
      </w:pPr>
      <w:r>
        <w:rPr>
          <w:color w:val="4D4D4D"/>
          <w:sz w:val="16"/>
        </w:rPr>
        <w:t>Seguridad en entornos de desarrollo.</w:t>
      </w:r>
      <w:r>
        <w:rPr>
          <w:sz w:val="16"/>
        </w:rPr>
        <w:t xml:space="preserve"> </w:t>
      </w:r>
    </w:p>
    <w:p w:rsidR="0076001D" w:rsidRDefault="0034129A">
      <w:pPr>
        <w:numPr>
          <w:ilvl w:val="2"/>
          <w:numId w:val="24"/>
        </w:numPr>
        <w:spacing w:line="248" w:lineRule="auto"/>
        <w:ind w:right="33" w:hanging="492"/>
        <w:jc w:val="left"/>
      </w:pPr>
      <w:r>
        <w:rPr>
          <w:color w:val="4D4D4D"/>
          <w:sz w:val="16"/>
        </w:rPr>
        <w:t>Externalización del desarrollo de software.</w:t>
      </w:r>
      <w:r>
        <w:rPr>
          <w:sz w:val="16"/>
        </w:rPr>
        <w:t xml:space="preserve"> </w:t>
      </w:r>
    </w:p>
    <w:p w:rsidR="0076001D" w:rsidRDefault="0034129A">
      <w:pPr>
        <w:numPr>
          <w:ilvl w:val="2"/>
          <w:numId w:val="24"/>
        </w:numPr>
        <w:spacing w:line="248" w:lineRule="auto"/>
        <w:ind w:right="33" w:hanging="492"/>
        <w:jc w:val="left"/>
      </w:pPr>
      <w:r>
        <w:rPr>
          <w:color w:val="4D4D4D"/>
          <w:sz w:val="16"/>
        </w:rPr>
        <w:t>Pruebas de funcionalidad durante el desarrollo de los sistemas.</w:t>
      </w:r>
      <w:r>
        <w:rPr>
          <w:sz w:val="16"/>
        </w:rPr>
        <w:t xml:space="preserve"> </w:t>
      </w:r>
    </w:p>
    <w:p w:rsidR="0076001D" w:rsidRDefault="0034129A">
      <w:pPr>
        <w:numPr>
          <w:ilvl w:val="2"/>
          <w:numId w:val="24"/>
        </w:numPr>
        <w:spacing w:line="248" w:lineRule="auto"/>
        <w:ind w:right="33" w:hanging="492"/>
        <w:jc w:val="left"/>
      </w:pPr>
      <w:r>
        <w:rPr>
          <w:color w:val="4D4D4D"/>
          <w:sz w:val="16"/>
        </w:rPr>
        <w:t>Pruebas de aceptación.</w:t>
      </w:r>
      <w:r>
        <w:rPr>
          <w:sz w:val="16"/>
        </w:rPr>
        <w:t xml:space="preserve"> </w:t>
      </w:r>
    </w:p>
    <w:p w:rsidR="0076001D" w:rsidRDefault="0034129A">
      <w:pPr>
        <w:numPr>
          <w:ilvl w:val="1"/>
          <w:numId w:val="24"/>
        </w:numPr>
        <w:spacing w:line="247" w:lineRule="auto"/>
        <w:ind w:right="15" w:hanging="360"/>
        <w:jc w:val="left"/>
      </w:pPr>
      <w:r>
        <w:rPr>
          <w:color w:val="FF0000"/>
          <w:sz w:val="16"/>
        </w:rPr>
        <w:t>Datos de prueba.</w:t>
      </w:r>
      <w:r>
        <w:rPr>
          <w:sz w:val="16"/>
        </w:rPr>
        <w:t xml:space="preserve"> </w:t>
      </w:r>
    </w:p>
    <w:p w:rsidR="0076001D" w:rsidRDefault="0034129A">
      <w:pPr>
        <w:numPr>
          <w:ilvl w:val="2"/>
          <w:numId w:val="24"/>
        </w:numPr>
        <w:spacing w:line="248" w:lineRule="auto"/>
        <w:ind w:right="33" w:hanging="492"/>
        <w:jc w:val="left"/>
      </w:pPr>
      <w:r>
        <w:rPr>
          <w:color w:val="4D4D4D"/>
          <w:sz w:val="16"/>
        </w:rPr>
        <w:t>Protección de los datos utilizados en pruebas.</w:t>
      </w:r>
      <w:r>
        <w:rPr>
          <w:sz w:val="16"/>
        </w:rPr>
        <w:t xml:space="preserve"> </w:t>
      </w:r>
    </w:p>
    <w:p w:rsidR="0076001D" w:rsidRDefault="0034129A">
      <w:pPr>
        <w:numPr>
          <w:ilvl w:val="0"/>
          <w:numId w:val="24"/>
        </w:numPr>
        <w:spacing w:line="248" w:lineRule="auto"/>
        <w:ind w:hanging="269"/>
        <w:jc w:val="left"/>
      </w:pPr>
      <w:r>
        <w:rPr>
          <w:b/>
          <w:color w:val="0000FF"/>
          <w:sz w:val="16"/>
        </w:rPr>
        <w:t>RELACIONES CON SUMINISTRADORES.</w:t>
      </w:r>
      <w:r>
        <w:rPr>
          <w:b/>
          <w:sz w:val="16"/>
        </w:rPr>
        <w:t xml:space="preserve"> </w:t>
      </w:r>
    </w:p>
    <w:p w:rsidR="0076001D" w:rsidRDefault="0034129A">
      <w:pPr>
        <w:numPr>
          <w:ilvl w:val="1"/>
          <w:numId w:val="24"/>
        </w:numPr>
        <w:spacing w:line="247" w:lineRule="auto"/>
        <w:ind w:right="15" w:hanging="360"/>
        <w:jc w:val="left"/>
      </w:pPr>
      <w:r>
        <w:rPr>
          <w:color w:val="FF0000"/>
          <w:sz w:val="16"/>
        </w:rPr>
        <w:t>Seguridad de la información en las relaciones con suministradores.</w:t>
      </w:r>
      <w:r>
        <w:rPr>
          <w:sz w:val="16"/>
        </w:rPr>
        <w:t xml:space="preserve"> </w:t>
      </w:r>
    </w:p>
    <w:p w:rsidR="0076001D" w:rsidRDefault="0076001D">
      <w:pPr>
        <w:sectPr w:rsidR="0076001D">
          <w:headerReference w:type="even" r:id="rId144"/>
          <w:headerReference w:type="default" r:id="rId145"/>
          <w:footerReference w:type="even" r:id="rId146"/>
          <w:footerReference w:type="default" r:id="rId147"/>
          <w:headerReference w:type="first" r:id="rId148"/>
          <w:footerReference w:type="first" r:id="rId149"/>
          <w:pgSz w:w="12240" w:h="15840"/>
          <w:pgMar w:top="1440" w:right="1419" w:bottom="1440" w:left="1159" w:header="540" w:footer="720" w:gutter="0"/>
          <w:cols w:num="3" w:space="357"/>
          <w:titlePg/>
        </w:sectPr>
      </w:pPr>
    </w:p>
    <w:p w:rsidR="0076001D" w:rsidRDefault="0034129A">
      <w:pPr>
        <w:spacing w:after="0" w:line="265" w:lineRule="auto"/>
        <w:ind w:left="10" w:right="-15" w:hanging="10"/>
        <w:jc w:val="right"/>
      </w:pP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spacing w:after="260" w:line="259" w:lineRule="auto"/>
        <w:ind w:left="543" w:firstLine="0"/>
        <w:jc w:val="left"/>
      </w:pP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0" w:firstLine="0"/>
        <w:jc w:val="left"/>
      </w:pPr>
      <w:r>
        <w:rPr>
          <w:sz w:val="2"/>
        </w:rPr>
        <w:t xml:space="preserve"> </w:t>
      </w:r>
    </w:p>
    <w:p w:rsidR="0076001D" w:rsidRDefault="0034129A">
      <w:pPr>
        <w:spacing w:after="12861" w:line="265" w:lineRule="auto"/>
        <w:ind w:left="10" w:right="402" w:hanging="10"/>
        <w:jc w:val="righ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p w:rsidR="0076001D" w:rsidRDefault="0034129A">
      <w:pPr>
        <w:spacing w:after="0" w:line="259" w:lineRule="auto"/>
        <w:ind w:left="0" w:firstLine="0"/>
        <w:jc w:val="left"/>
      </w:pPr>
      <w:r>
        <w:rPr>
          <w:sz w:val="2"/>
        </w:rPr>
        <w:lastRenderedPageBreak/>
        <w:t xml:space="preserve"> </w:t>
      </w:r>
    </w:p>
    <w:p w:rsidR="0076001D" w:rsidRDefault="0076001D">
      <w:pPr>
        <w:sectPr w:rsidR="0076001D">
          <w:type w:val="continuous"/>
          <w:pgSz w:w="12240" w:h="15840"/>
          <w:pgMar w:top="1970" w:right="5601" w:bottom="0" w:left="1159" w:header="720" w:footer="720" w:gutter="0"/>
          <w:cols w:space="720"/>
        </w:sectPr>
      </w:pPr>
    </w:p>
    <w:p w:rsidR="0076001D" w:rsidRDefault="0034129A">
      <w:pPr>
        <w:spacing w:after="112" w:line="259" w:lineRule="auto"/>
        <w:ind w:left="0" w:firstLine="0"/>
        <w:jc w:val="left"/>
      </w:pPr>
      <w:r>
        <w:rPr>
          <w:rFonts w:ascii="Calibri" w:eastAsia="Calibri" w:hAnsi="Calibri" w:cs="Calibri"/>
          <w:sz w:val="13"/>
        </w:rPr>
        <w:t xml:space="preserve"> </w:t>
      </w:r>
    </w:p>
    <w:p w:rsidR="0076001D" w:rsidRDefault="0034129A">
      <w:pPr>
        <w:numPr>
          <w:ilvl w:val="2"/>
          <w:numId w:val="24"/>
        </w:numPr>
        <w:spacing w:line="248" w:lineRule="auto"/>
        <w:ind w:right="33" w:hanging="492"/>
        <w:jc w:val="left"/>
      </w:pPr>
      <w:r>
        <w:rPr>
          <w:rFonts w:ascii="Calibri" w:eastAsia="Calibri" w:hAnsi="Calibri" w:cs="Calibri"/>
          <w:noProof/>
          <w:lang w:val="es-ES" w:eastAsia="es-ES"/>
        </w:rPr>
        <mc:AlternateContent>
          <mc:Choice Requires="wpg">
            <w:drawing>
              <wp:anchor distT="0" distB="0" distL="114300" distR="114300" simplePos="0" relativeHeight="251675648" behindDoc="0" locked="0" layoutInCell="1" allowOverlap="1">
                <wp:simplePos x="0" y="0"/>
                <wp:positionH relativeFrom="column">
                  <wp:posOffset>2245233</wp:posOffset>
                </wp:positionH>
                <wp:positionV relativeFrom="paragraph">
                  <wp:posOffset>-2207</wp:posOffset>
                </wp:positionV>
                <wp:extent cx="9144" cy="2832100"/>
                <wp:effectExtent l="0" t="0" r="0" b="0"/>
                <wp:wrapSquare wrapText="bothSides"/>
                <wp:docPr id="169765" name="Group 169765"/>
                <wp:cNvGraphicFramePr/>
                <a:graphic xmlns:a="http://schemas.openxmlformats.org/drawingml/2006/main">
                  <a:graphicData uri="http://schemas.microsoft.com/office/word/2010/wordprocessingGroup">
                    <wpg:wgp>
                      <wpg:cNvGrpSpPr/>
                      <wpg:grpSpPr>
                        <a:xfrm>
                          <a:off x="0" y="0"/>
                          <a:ext cx="9144" cy="2832100"/>
                          <a:chOff x="0" y="0"/>
                          <a:chExt cx="9144" cy="2832100"/>
                        </a:xfrm>
                      </wpg:grpSpPr>
                      <wps:wsp>
                        <wps:cNvPr id="15105" name="Shape 15105"/>
                        <wps:cNvSpPr/>
                        <wps:spPr>
                          <a:xfrm>
                            <a:off x="0" y="0"/>
                            <a:ext cx="0" cy="2832100"/>
                          </a:xfrm>
                          <a:custGeom>
                            <a:avLst/>
                            <a:gdLst/>
                            <a:ahLst/>
                            <a:cxnLst/>
                            <a:rect l="0" t="0" r="0" b="0"/>
                            <a:pathLst>
                              <a:path h="2832100">
                                <a:moveTo>
                                  <a:pt x="0" y="0"/>
                                </a:moveTo>
                                <a:lnTo>
                                  <a:pt x="0" y="283210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69765" style="width:0.72pt;height:223pt;position:absolute;mso-position-horizontal-relative:text;mso-position-horizontal:absolute;margin-left:176.79pt;mso-position-vertical-relative:text;margin-top:-0.173828pt;" coordsize="91,28321">
                <v:shape id="Shape 15105" style="position:absolute;width:0;height:28321;left:0;top:0;" coordsize="0,2832100" path="m0,0l0,2832100">
                  <v:stroke weight="0.72pt" endcap="flat" joinstyle="round" on="true" color="#000000"/>
                  <v:fill on="false" color="#000000" opacity="0"/>
                </v:shape>
                <w10:wrap type="square"/>
              </v:group>
            </w:pict>
          </mc:Fallback>
        </mc:AlternateContent>
      </w:r>
      <w:r>
        <w:rPr>
          <w:color w:val="4D4D4D"/>
          <w:sz w:val="16"/>
        </w:rPr>
        <w:t>Política de seguridad de la información para suministradores.</w:t>
      </w:r>
      <w:r>
        <w:rPr>
          <w:sz w:val="16"/>
        </w:rPr>
        <w:t xml:space="preserve"> </w:t>
      </w:r>
    </w:p>
    <w:p w:rsidR="0076001D" w:rsidRDefault="0034129A">
      <w:pPr>
        <w:numPr>
          <w:ilvl w:val="2"/>
          <w:numId w:val="24"/>
        </w:numPr>
        <w:spacing w:line="248" w:lineRule="auto"/>
        <w:ind w:right="33" w:hanging="492"/>
        <w:jc w:val="left"/>
      </w:pPr>
      <w:r>
        <w:rPr>
          <w:color w:val="4D4D4D"/>
          <w:sz w:val="16"/>
        </w:rPr>
        <w:t>Tratamiento del riesgo dentro de acuerdos de suministradores.</w:t>
      </w:r>
      <w:r>
        <w:rPr>
          <w:sz w:val="16"/>
        </w:rPr>
        <w:t xml:space="preserve"> </w:t>
      </w:r>
    </w:p>
    <w:p w:rsidR="0076001D" w:rsidRDefault="0034129A">
      <w:pPr>
        <w:numPr>
          <w:ilvl w:val="2"/>
          <w:numId w:val="24"/>
        </w:numPr>
        <w:spacing w:line="248" w:lineRule="auto"/>
        <w:ind w:right="33" w:hanging="492"/>
        <w:jc w:val="left"/>
      </w:pPr>
      <w:r>
        <w:rPr>
          <w:color w:val="4D4D4D"/>
          <w:sz w:val="16"/>
        </w:rPr>
        <w:t>Cadena de suministro en tecnologías de la información y comunicaciones.</w:t>
      </w:r>
      <w:r>
        <w:rPr>
          <w:sz w:val="16"/>
        </w:rPr>
        <w:t xml:space="preserve"> </w:t>
      </w:r>
    </w:p>
    <w:p w:rsidR="0076001D" w:rsidRDefault="0034129A">
      <w:pPr>
        <w:numPr>
          <w:ilvl w:val="1"/>
          <w:numId w:val="24"/>
        </w:numPr>
        <w:spacing w:line="247" w:lineRule="auto"/>
        <w:ind w:right="15" w:hanging="360"/>
        <w:jc w:val="left"/>
      </w:pPr>
      <w:r>
        <w:rPr>
          <w:color w:val="FF0000"/>
          <w:sz w:val="16"/>
        </w:rPr>
        <w:t>Gestión de la prestación del servicio por suministradores.</w:t>
      </w:r>
      <w:r>
        <w:rPr>
          <w:sz w:val="16"/>
        </w:rPr>
        <w:t xml:space="preserve"> </w:t>
      </w:r>
    </w:p>
    <w:p w:rsidR="0076001D" w:rsidRDefault="0034129A">
      <w:pPr>
        <w:numPr>
          <w:ilvl w:val="2"/>
          <w:numId w:val="24"/>
        </w:numPr>
        <w:spacing w:line="248" w:lineRule="auto"/>
        <w:ind w:right="33" w:hanging="492"/>
        <w:jc w:val="left"/>
      </w:pPr>
      <w:r>
        <w:rPr>
          <w:color w:val="4D4D4D"/>
          <w:sz w:val="16"/>
        </w:rPr>
        <w:t>Supervisión y revisión de los servicios prestados por terceros.</w:t>
      </w:r>
      <w:r>
        <w:rPr>
          <w:sz w:val="16"/>
        </w:rPr>
        <w:t xml:space="preserve"> </w:t>
      </w:r>
    </w:p>
    <w:p w:rsidR="0076001D" w:rsidRDefault="0034129A">
      <w:pPr>
        <w:numPr>
          <w:ilvl w:val="2"/>
          <w:numId w:val="24"/>
        </w:numPr>
        <w:spacing w:line="248" w:lineRule="auto"/>
        <w:ind w:right="33" w:hanging="492"/>
        <w:jc w:val="left"/>
      </w:pPr>
      <w:r>
        <w:rPr>
          <w:color w:val="4D4D4D"/>
          <w:sz w:val="16"/>
        </w:rPr>
        <w:t>Gestión de cambios en los servicios prestados por terceros.</w:t>
      </w:r>
      <w:r>
        <w:rPr>
          <w:sz w:val="16"/>
        </w:rPr>
        <w:t xml:space="preserve"> </w:t>
      </w:r>
    </w:p>
    <w:p w:rsidR="0076001D" w:rsidRDefault="0034129A">
      <w:pPr>
        <w:numPr>
          <w:ilvl w:val="0"/>
          <w:numId w:val="24"/>
        </w:numPr>
        <w:spacing w:line="248" w:lineRule="auto"/>
        <w:ind w:hanging="269"/>
        <w:jc w:val="left"/>
      </w:pPr>
      <w:r>
        <w:rPr>
          <w:b/>
          <w:color w:val="0000FF"/>
          <w:sz w:val="16"/>
        </w:rPr>
        <w:t>GESTIÓN DE INCIDENTES EN LA SEGURIDAD DE LA INFORMACIÓN.</w:t>
      </w:r>
      <w:r>
        <w:rPr>
          <w:b/>
          <w:sz w:val="16"/>
        </w:rPr>
        <w:t xml:space="preserve"> </w:t>
      </w:r>
    </w:p>
    <w:p w:rsidR="0076001D" w:rsidRDefault="0034129A">
      <w:pPr>
        <w:numPr>
          <w:ilvl w:val="1"/>
          <w:numId w:val="24"/>
        </w:numPr>
        <w:spacing w:after="1" w:line="239" w:lineRule="auto"/>
        <w:ind w:right="15" w:hanging="360"/>
        <w:jc w:val="left"/>
      </w:pPr>
      <w:r>
        <w:rPr>
          <w:color w:val="FF0000"/>
          <w:sz w:val="16"/>
        </w:rPr>
        <w:t>Gestión de incidentes de seguridad de la información y mejoras.</w:t>
      </w:r>
      <w:r>
        <w:rPr>
          <w:sz w:val="16"/>
        </w:rPr>
        <w:t xml:space="preserve"> </w:t>
      </w:r>
      <w:r>
        <w:rPr>
          <w:color w:val="4D4D4D"/>
          <w:sz w:val="16"/>
        </w:rPr>
        <w:t>16.1.1 Responsabilidades y procedimientos.</w:t>
      </w:r>
      <w:r>
        <w:rPr>
          <w:sz w:val="16"/>
        </w:rPr>
        <w:t xml:space="preserve"> </w:t>
      </w:r>
    </w:p>
    <w:p w:rsidR="0076001D" w:rsidRDefault="0034129A">
      <w:pPr>
        <w:numPr>
          <w:ilvl w:val="2"/>
          <w:numId w:val="25"/>
        </w:numPr>
        <w:spacing w:line="248" w:lineRule="auto"/>
        <w:ind w:left="837" w:right="33" w:hanging="8"/>
        <w:jc w:val="left"/>
      </w:pPr>
      <w:r>
        <w:rPr>
          <w:color w:val="4D4D4D"/>
          <w:sz w:val="16"/>
        </w:rPr>
        <w:t>Notificación de los eventos de seguridad de la información.</w:t>
      </w:r>
      <w:r>
        <w:rPr>
          <w:sz w:val="16"/>
        </w:rPr>
        <w:t xml:space="preserve"> </w:t>
      </w:r>
    </w:p>
    <w:p w:rsidR="0076001D" w:rsidRDefault="0034129A">
      <w:pPr>
        <w:numPr>
          <w:ilvl w:val="2"/>
          <w:numId w:val="25"/>
        </w:numPr>
        <w:spacing w:after="213" w:line="248" w:lineRule="auto"/>
        <w:ind w:left="837" w:right="33" w:hanging="8"/>
        <w:jc w:val="left"/>
      </w:pPr>
      <w:r>
        <w:rPr>
          <w:color w:val="4D4D4D"/>
          <w:sz w:val="16"/>
        </w:rPr>
        <w:t>Notificación de puntos débiles de la seguridad.</w:t>
      </w:r>
      <w:r>
        <w:rPr>
          <w:sz w:val="16"/>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19" w:line="259" w:lineRule="auto"/>
        <w:ind w:left="0" w:firstLine="0"/>
        <w:jc w:val="left"/>
      </w:pPr>
      <w:r>
        <w:rPr>
          <w:sz w:val="20"/>
        </w:rPr>
        <w:t xml:space="preserve"> </w:t>
      </w:r>
    </w:p>
    <w:p w:rsidR="0076001D" w:rsidRDefault="0034129A">
      <w:pPr>
        <w:spacing w:after="0" w:line="259" w:lineRule="auto"/>
        <w:ind w:left="0" w:firstLine="0"/>
        <w:jc w:val="left"/>
      </w:pPr>
      <w:r>
        <w:rPr>
          <w:sz w:val="23"/>
        </w:rPr>
        <w:t xml:space="preserve"> </w:t>
      </w:r>
    </w:p>
    <w:p w:rsidR="0076001D" w:rsidRDefault="0034129A">
      <w:pPr>
        <w:numPr>
          <w:ilvl w:val="2"/>
          <w:numId w:val="25"/>
        </w:numPr>
        <w:spacing w:line="248" w:lineRule="auto"/>
        <w:ind w:left="837" w:right="33" w:hanging="8"/>
        <w:jc w:val="left"/>
      </w:pPr>
      <w:r>
        <w:rPr>
          <w:rFonts w:ascii="Calibri" w:eastAsia="Calibri" w:hAnsi="Calibri" w:cs="Calibri"/>
          <w:noProof/>
          <w:lang w:val="es-ES" w:eastAsia="es-ES"/>
        </w:rPr>
        <mc:AlternateContent>
          <mc:Choice Requires="wpg">
            <w:drawing>
              <wp:anchor distT="0" distB="0" distL="114300" distR="114300" simplePos="0" relativeHeight="251676672" behindDoc="0" locked="0" layoutInCell="1" allowOverlap="1">
                <wp:simplePos x="0" y="0"/>
                <wp:positionH relativeFrom="column">
                  <wp:posOffset>1900555</wp:posOffset>
                </wp:positionH>
                <wp:positionV relativeFrom="paragraph">
                  <wp:posOffset>-2207</wp:posOffset>
                </wp:positionV>
                <wp:extent cx="9144" cy="2832100"/>
                <wp:effectExtent l="0" t="0" r="0" b="0"/>
                <wp:wrapSquare wrapText="bothSides"/>
                <wp:docPr id="169766" name="Group 169766"/>
                <wp:cNvGraphicFramePr/>
                <a:graphic xmlns:a="http://schemas.openxmlformats.org/drawingml/2006/main">
                  <a:graphicData uri="http://schemas.microsoft.com/office/word/2010/wordprocessingGroup">
                    <wpg:wgp>
                      <wpg:cNvGrpSpPr/>
                      <wpg:grpSpPr>
                        <a:xfrm>
                          <a:off x="0" y="0"/>
                          <a:ext cx="9144" cy="2832100"/>
                          <a:chOff x="0" y="0"/>
                          <a:chExt cx="9144" cy="2832100"/>
                        </a:xfrm>
                      </wpg:grpSpPr>
                      <wps:wsp>
                        <wps:cNvPr id="15106" name="Shape 15106"/>
                        <wps:cNvSpPr/>
                        <wps:spPr>
                          <a:xfrm>
                            <a:off x="0" y="0"/>
                            <a:ext cx="0" cy="2832100"/>
                          </a:xfrm>
                          <a:custGeom>
                            <a:avLst/>
                            <a:gdLst/>
                            <a:ahLst/>
                            <a:cxnLst/>
                            <a:rect l="0" t="0" r="0" b="0"/>
                            <a:pathLst>
                              <a:path h="2832100">
                                <a:moveTo>
                                  <a:pt x="0" y="0"/>
                                </a:moveTo>
                                <a:lnTo>
                                  <a:pt x="0" y="283210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169766" style="width:0.72pt;height:223pt;position:absolute;mso-position-horizontal-relative:text;mso-position-horizontal:absolute;margin-left:149.65pt;mso-position-vertical-relative:text;margin-top:-0.173828pt;" coordsize="91,28321">
                <v:shape id="Shape 15106" style="position:absolute;width:0;height:28321;left:0;top:0;" coordsize="0,2832100" path="m0,0l0,2832100">
                  <v:stroke weight="0.72pt" endcap="flat" joinstyle="round" on="true" color="#000000"/>
                  <v:fill on="false" color="#000000" opacity="0"/>
                </v:shape>
                <w10:wrap type="square"/>
              </v:group>
            </w:pict>
          </mc:Fallback>
        </mc:AlternateContent>
      </w:r>
      <w:r>
        <w:rPr>
          <w:color w:val="4D4D4D"/>
          <w:sz w:val="16"/>
        </w:rPr>
        <w:t>Valoración de eventos de seguridad de la información y toma de decisiones.</w:t>
      </w:r>
      <w:r>
        <w:rPr>
          <w:sz w:val="16"/>
        </w:rPr>
        <w:t xml:space="preserve"> </w:t>
      </w:r>
    </w:p>
    <w:p w:rsidR="0076001D" w:rsidRDefault="0034129A">
      <w:pPr>
        <w:numPr>
          <w:ilvl w:val="2"/>
          <w:numId w:val="25"/>
        </w:numPr>
        <w:spacing w:line="248" w:lineRule="auto"/>
        <w:ind w:left="837" w:right="33" w:hanging="8"/>
        <w:jc w:val="left"/>
      </w:pPr>
      <w:r>
        <w:rPr>
          <w:color w:val="4D4D4D"/>
          <w:sz w:val="16"/>
        </w:rPr>
        <w:t>Respuesta a los incidentes de seguridad.</w:t>
      </w:r>
      <w:r>
        <w:rPr>
          <w:sz w:val="16"/>
        </w:rPr>
        <w:t xml:space="preserve"> </w:t>
      </w:r>
    </w:p>
    <w:p w:rsidR="0076001D" w:rsidRDefault="0034129A">
      <w:pPr>
        <w:numPr>
          <w:ilvl w:val="2"/>
          <w:numId w:val="25"/>
        </w:numPr>
        <w:spacing w:line="248" w:lineRule="auto"/>
        <w:ind w:left="837" w:right="33" w:hanging="8"/>
        <w:jc w:val="left"/>
      </w:pPr>
      <w:r>
        <w:rPr>
          <w:color w:val="4D4D4D"/>
          <w:sz w:val="16"/>
        </w:rPr>
        <w:t>Aprendizaje de los incidentes de seguridad de la información.</w:t>
      </w:r>
      <w:r>
        <w:rPr>
          <w:sz w:val="16"/>
        </w:rPr>
        <w:t xml:space="preserve"> </w:t>
      </w:r>
      <w:r>
        <w:rPr>
          <w:color w:val="4D4D4D"/>
          <w:sz w:val="16"/>
        </w:rPr>
        <w:t>16.1.7 Recopilación de evidencias.</w:t>
      </w:r>
      <w:r>
        <w:rPr>
          <w:sz w:val="16"/>
        </w:rPr>
        <w:t xml:space="preserve"> </w:t>
      </w:r>
    </w:p>
    <w:p w:rsidR="0076001D" w:rsidRDefault="0034129A">
      <w:pPr>
        <w:numPr>
          <w:ilvl w:val="0"/>
          <w:numId w:val="24"/>
        </w:numPr>
        <w:spacing w:line="248" w:lineRule="auto"/>
        <w:ind w:hanging="269"/>
        <w:jc w:val="left"/>
      </w:pPr>
      <w:r>
        <w:rPr>
          <w:b/>
          <w:color w:val="0000FF"/>
          <w:sz w:val="16"/>
        </w:rPr>
        <w:t>ASPECTOS DE SEGURIDAD DE LA INFORMACION EN LA GESTIÓN DE LA CONTINUIDAD DEL NEGOCIO.</w:t>
      </w:r>
      <w:r>
        <w:rPr>
          <w:b/>
          <w:sz w:val="16"/>
        </w:rPr>
        <w:t xml:space="preserve"> </w:t>
      </w:r>
    </w:p>
    <w:p w:rsidR="0076001D" w:rsidRDefault="0034129A">
      <w:pPr>
        <w:numPr>
          <w:ilvl w:val="1"/>
          <w:numId w:val="24"/>
        </w:numPr>
        <w:spacing w:line="247" w:lineRule="auto"/>
        <w:ind w:right="15" w:hanging="360"/>
        <w:jc w:val="left"/>
      </w:pPr>
      <w:r>
        <w:rPr>
          <w:color w:val="FF0000"/>
          <w:sz w:val="16"/>
        </w:rPr>
        <w:t>Continuidad de la seguridad de la información.</w:t>
      </w:r>
      <w:r>
        <w:rPr>
          <w:sz w:val="16"/>
        </w:rPr>
        <w:t xml:space="preserve"> </w:t>
      </w:r>
    </w:p>
    <w:p w:rsidR="0076001D" w:rsidRDefault="0034129A">
      <w:pPr>
        <w:numPr>
          <w:ilvl w:val="2"/>
          <w:numId w:val="24"/>
        </w:numPr>
        <w:spacing w:line="248" w:lineRule="auto"/>
        <w:ind w:right="33" w:hanging="492"/>
        <w:jc w:val="left"/>
      </w:pPr>
      <w:r>
        <w:rPr>
          <w:color w:val="4D4D4D"/>
          <w:sz w:val="16"/>
        </w:rPr>
        <w:t>Planificación de la continuidad de la seguridad de la información.</w:t>
      </w:r>
      <w:r>
        <w:rPr>
          <w:sz w:val="16"/>
        </w:rPr>
        <w:t xml:space="preserve"> </w:t>
      </w:r>
    </w:p>
    <w:p w:rsidR="0076001D" w:rsidRDefault="0034129A">
      <w:pPr>
        <w:numPr>
          <w:ilvl w:val="2"/>
          <w:numId w:val="24"/>
        </w:numPr>
        <w:spacing w:line="248" w:lineRule="auto"/>
        <w:ind w:right="33" w:hanging="492"/>
        <w:jc w:val="left"/>
      </w:pPr>
      <w:r>
        <w:rPr>
          <w:color w:val="4D4D4D"/>
          <w:sz w:val="16"/>
        </w:rPr>
        <w:t>Implantación de la continuidad de la seguridad de la información.</w:t>
      </w:r>
      <w:r>
        <w:rPr>
          <w:sz w:val="16"/>
        </w:rPr>
        <w:t xml:space="preserve"> </w:t>
      </w:r>
      <w:r>
        <w:rPr>
          <w:color w:val="4D4D4D"/>
          <w:sz w:val="16"/>
        </w:rPr>
        <w:t xml:space="preserve">17.1.3 Verificación, revisión y evaluación de la continuidad de la </w:t>
      </w:r>
      <w:r>
        <w:rPr>
          <w:color w:val="4D4D4D"/>
          <w:sz w:val="16"/>
        </w:rPr>
        <w:t>seguridad de la información.</w:t>
      </w:r>
      <w:r>
        <w:rPr>
          <w:sz w:val="16"/>
        </w:rPr>
        <w:t xml:space="preserve"> </w:t>
      </w:r>
    </w:p>
    <w:p w:rsidR="0076001D" w:rsidRDefault="0034129A">
      <w:pPr>
        <w:numPr>
          <w:ilvl w:val="1"/>
          <w:numId w:val="24"/>
        </w:numPr>
        <w:spacing w:line="247" w:lineRule="auto"/>
        <w:ind w:right="15" w:hanging="360"/>
        <w:jc w:val="left"/>
      </w:pPr>
      <w:r>
        <w:rPr>
          <w:color w:val="FF0000"/>
          <w:sz w:val="16"/>
        </w:rPr>
        <w:t>Redundancias.</w:t>
      </w:r>
      <w:r>
        <w:rPr>
          <w:sz w:val="16"/>
        </w:rPr>
        <w:t xml:space="preserve"> </w:t>
      </w:r>
    </w:p>
    <w:p w:rsidR="0076001D" w:rsidRDefault="0034129A">
      <w:pPr>
        <w:numPr>
          <w:ilvl w:val="2"/>
          <w:numId w:val="24"/>
        </w:numPr>
        <w:spacing w:line="248" w:lineRule="auto"/>
        <w:ind w:right="33" w:hanging="492"/>
        <w:jc w:val="left"/>
      </w:pPr>
      <w:r>
        <w:rPr>
          <w:color w:val="4D4D4D"/>
          <w:sz w:val="16"/>
        </w:rPr>
        <w:t>Disponibilidad de instalaciones para el procesamiento de la información.</w:t>
      </w:r>
      <w:r>
        <w:rPr>
          <w:sz w:val="16"/>
        </w:rPr>
        <w:t xml:space="preserve"> </w:t>
      </w:r>
    </w:p>
    <w:p w:rsidR="0076001D" w:rsidRDefault="0034129A">
      <w:pPr>
        <w:numPr>
          <w:ilvl w:val="0"/>
          <w:numId w:val="24"/>
        </w:numPr>
        <w:spacing w:line="248" w:lineRule="auto"/>
        <w:ind w:hanging="269"/>
        <w:jc w:val="left"/>
      </w:pPr>
      <w:r>
        <w:rPr>
          <w:b/>
          <w:color w:val="0000FF"/>
          <w:sz w:val="16"/>
        </w:rPr>
        <w:t>CUMPLIMIENTO.</w:t>
      </w:r>
      <w:r>
        <w:rPr>
          <w:b/>
          <w:sz w:val="16"/>
        </w:rPr>
        <w:t xml:space="preserve"> </w:t>
      </w:r>
    </w:p>
    <w:p w:rsidR="0076001D" w:rsidRDefault="0034129A">
      <w:pPr>
        <w:numPr>
          <w:ilvl w:val="1"/>
          <w:numId w:val="24"/>
        </w:numPr>
        <w:spacing w:line="247" w:lineRule="auto"/>
        <w:ind w:right="15" w:hanging="360"/>
        <w:jc w:val="left"/>
      </w:pPr>
      <w:r>
        <w:rPr>
          <w:color w:val="FF0000"/>
          <w:sz w:val="16"/>
        </w:rPr>
        <w:t>Cumplimiento de los requisitos legales y contractuales.</w:t>
      </w:r>
      <w:r>
        <w:rPr>
          <w:sz w:val="16"/>
        </w:rPr>
        <w:t xml:space="preserve"> </w:t>
      </w:r>
    </w:p>
    <w:p w:rsidR="0076001D" w:rsidRDefault="0034129A">
      <w:pPr>
        <w:numPr>
          <w:ilvl w:val="2"/>
          <w:numId w:val="24"/>
        </w:numPr>
        <w:spacing w:line="248" w:lineRule="auto"/>
        <w:ind w:right="33" w:hanging="492"/>
        <w:jc w:val="left"/>
      </w:pPr>
      <w:r>
        <w:rPr>
          <w:color w:val="4D4D4D"/>
          <w:sz w:val="16"/>
        </w:rPr>
        <w:t>Identificación de la legislación aplicable.</w:t>
      </w:r>
      <w:r>
        <w:rPr>
          <w:sz w:val="16"/>
        </w:rPr>
        <w:t xml:space="preserve"> </w:t>
      </w:r>
    </w:p>
    <w:p w:rsidR="0076001D" w:rsidRDefault="0034129A">
      <w:pPr>
        <w:numPr>
          <w:ilvl w:val="2"/>
          <w:numId w:val="24"/>
        </w:numPr>
        <w:spacing w:line="248" w:lineRule="auto"/>
        <w:ind w:right="33" w:hanging="492"/>
        <w:jc w:val="left"/>
      </w:pPr>
      <w:r>
        <w:rPr>
          <w:color w:val="4D4D4D"/>
          <w:sz w:val="16"/>
        </w:rPr>
        <w:t>Derechos de propiedad intelectual (DPI).</w:t>
      </w:r>
      <w:r>
        <w:rPr>
          <w:sz w:val="16"/>
        </w:rPr>
        <w:t xml:space="preserve"> </w:t>
      </w:r>
    </w:p>
    <w:p w:rsidR="0076001D" w:rsidRDefault="0034129A">
      <w:pPr>
        <w:numPr>
          <w:ilvl w:val="2"/>
          <w:numId w:val="24"/>
        </w:numPr>
        <w:spacing w:line="248" w:lineRule="auto"/>
        <w:ind w:right="33" w:hanging="492"/>
        <w:jc w:val="left"/>
      </w:pPr>
      <w:r>
        <w:rPr>
          <w:color w:val="4D4D4D"/>
          <w:sz w:val="16"/>
        </w:rPr>
        <w:t>Protección de los registros de la organización.</w:t>
      </w:r>
      <w:r>
        <w:rPr>
          <w:sz w:val="16"/>
        </w:rPr>
        <w:t xml:space="preserve"> </w:t>
      </w:r>
    </w:p>
    <w:p w:rsidR="0076001D" w:rsidRDefault="0034129A">
      <w:pPr>
        <w:numPr>
          <w:ilvl w:val="2"/>
          <w:numId w:val="24"/>
        </w:numPr>
        <w:spacing w:line="248" w:lineRule="auto"/>
        <w:ind w:right="33" w:hanging="492"/>
        <w:jc w:val="left"/>
      </w:pPr>
      <w:r>
        <w:rPr>
          <w:color w:val="4D4D4D"/>
          <w:sz w:val="16"/>
        </w:rPr>
        <w:t>Protección de datos y privacidad de la información personal.</w:t>
      </w:r>
      <w:r>
        <w:rPr>
          <w:sz w:val="16"/>
        </w:rPr>
        <w:t xml:space="preserve"> </w:t>
      </w:r>
    </w:p>
    <w:p w:rsidR="0076001D" w:rsidRDefault="0034129A">
      <w:pPr>
        <w:numPr>
          <w:ilvl w:val="2"/>
          <w:numId w:val="24"/>
        </w:numPr>
        <w:spacing w:line="248" w:lineRule="auto"/>
        <w:ind w:right="33" w:hanging="492"/>
        <w:jc w:val="left"/>
      </w:pPr>
      <w:r>
        <w:rPr>
          <w:color w:val="4D4D4D"/>
          <w:sz w:val="16"/>
        </w:rPr>
        <w:t>Regulación de los controles criptográficos.</w:t>
      </w:r>
      <w:r>
        <w:rPr>
          <w:sz w:val="16"/>
        </w:rPr>
        <w:t xml:space="preserve"> </w:t>
      </w:r>
    </w:p>
    <w:p w:rsidR="0076001D" w:rsidRDefault="0034129A">
      <w:pPr>
        <w:numPr>
          <w:ilvl w:val="1"/>
          <w:numId w:val="24"/>
        </w:numPr>
        <w:spacing w:line="247" w:lineRule="auto"/>
        <w:ind w:right="15" w:hanging="360"/>
        <w:jc w:val="left"/>
      </w:pPr>
      <w:r>
        <w:rPr>
          <w:color w:val="FF0000"/>
          <w:sz w:val="16"/>
        </w:rPr>
        <w:t>Revisiones de la seguridad de la información.</w:t>
      </w:r>
      <w:r>
        <w:rPr>
          <w:sz w:val="16"/>
        </w:rPr>
        <w:t xml:space="preserve"> </w:t>
      </w:r>
    </w:p>
    <w:p w:rsidR="0076001D" w:rsidRDefault="0034129A">
      <w:pPr>
        <w:numPr>
          <w:ilvl w:val="2"/>
          <w:numId w:val="24"/>
        </w:numPr>
        <w:spacing w:line="248" w:lineRule="auto"/>
        <w:ind w:right="33" w:hanging="492"/>
        <w:jc w:val="left"/>
      </w:pPr>
      <w:r>
        <w:rPr>
          <w:color w:val="4D4D4D"/>
          <w:sz w:val="16"/>
        </w:rPr>
        <w:t>Revisión independiente de la seguridad de la información.</w:t>
      </w:r>
      <w:r>
        <w:rPr>
          <w:sz w:val="16"/>
        </w:rPr>
        <w:t xml:space="preserve"> </w:t>
      </w:r>
    </w:p>
    <w:p w:rsidR="0076001D" w:rsidRDefault="0034129A">
      <w:pPr>
        <w:numPr>
          <w:ilvl w:val="2"/>
          <w:numId w:val="24"/>
        </w:numPr>
        <w:spacing w:line="248" w:lineRule="auto"/>
        <w:ind w:right="33" w:hanging="492"/>
        <w:jc w:val="left"/>
      </w:pPr>
      <w:r>
        <w:rPr>
          <w:color w:val="4D4D4D"/>
          <w:sz w:val="16"/>
        </w:rPr>
        <w:t>Cumplimiento de las políticas y normas de seguridad.</w:t>
      </w:r>
      <w:r>
        <w:rPr>
          <w:sz w:val="16"/>
        </w:rPr>
        <w:t xml:space="preserve"> </w:t>
      </w:r>
    </w:p>
    <w:p w:rsidR="0076001D" w:rsidRDefault="0034129A">
      <w:pPr>
        <w:numPr>
          <w:ilvl w:val="2"/>
          <w:numId w:val="24"/>
        </w:numPr>
        <w:spacing w:line="248" w:lineRule="auto"/>
        <w:ind w:right="33" w:hanging="492"/>
        <w:jc w:val="left"/>
      </w:pPr>
      <w:r>
        <w:rPr>
          <w:color w:val="4D4D4D"/>
          <w:sz w:val="16"/>
        </w:rPr>
        <w:t>Comprobación del cumplimiento.</w:t>
      </w:r>
      <w:r>
        <w:rPr>
          <w:sz w:val="16"/>
        </w:rPr>
        <w:t xml:space="preserve"> </w:t>
      </w:r>
    </w:p>
    <w:p w:rsidR="0076001D" w:rsidRDefault="0076001D">
      <w:pPr>
        <w:sectPr w:rsidR="0076001D">
          <w:type w:val="continuous"/>
          <w:pgSz w:w="12240" w:h="15840"/>
          <w:pgMar w:top="1440" w:right="1447" w:bottom="1440" w:left="1159" w:header="720" w:footer="720" w:gutter="0"/>
          <w:cols w:num="3" w:space="274"/>
        </w:sectPr>
      </w:pPr>
    </w:p>
    <w:p w:rsidR="0076001D" w:rsidRDefault="0034129A">
      <w:pPr>
        <w:pStyle w:val="Ttulo2"/>
        <w:tabs>
          <w:tab w:val="center" w:pos="696"/>
          <w:tab w:val="center" w:pos="3588"/>
        </w:tabs>
        <w:ind w:left="0" w:firstLine="0"/>
      </w:pPr>
      <w:r>
        <w:rPr>
          <w:rFonts w:ascii="Calibri" w:eastAsia="Calibri" w:hAnsi="Calibri" w:cs="Calibri"/>
          <w:b w:val="0"/>
        </w:rPr>
        <w:tab/>
      </w:r>
      <w:r>
        <w:t xml:space="preserve">5.2 </w:t>
      </w:r>
      <w:r>
        <w:tab/>
        <w:t xml:space="preserve">Administración de accesos y Seguridad Lógica </w:t>
      </w:r>
    </w:p>
    <w:p w:rsidR="0076001D" w:rsidRDefault="0034129A">
      <w:pPr>
        <w:spacing w:after="2" w:line="259" w:lineRule="auto"/>
        <w:ind w:left="0" w:firstLine="0"/>
        <w:jc w:val="left"/>
      </w:pPr>
      <w:r>
        <w:rPr>
          <w:b/>
          <w:sz w:val="20"/>
        </w:rPr>
        <w:t xml:space="preserve"> </w:t>
      </w:r>
    </w:p>
    <w:p w:rsidR="0076001D" w:rsidRDefault="0034129A">
      <w:pPr>
        <w:pStyle w:val="Ttulo3"/>
        <w:spacing w:after="29"/>
        <w:ind w:left="538"/>
      </w:pPr>
      <w:r>
        <w:t xml:space="preserve">5.2.1 Seguridad de la red </w:t>
      </w:r>
    </w:p>
    <w:p w:rsidR="0076001D" w:rsidRDefault="0034129A">
      <w:pPr>
        <w:numPr>
          <w:ilvl w:val="0"/>
          <w:numId w:val="26"/>
        </w:numPr>
        <w:spacing w:after="114"/>
        <w:ind w:left="952" w:right="434" w:hanging="407"/>
      </w:pPr>
      <w:r>
        <w:t>Ya se cuenta con un diagrama de infraestructura actualizado en el cual se puede visualizar correctamente la ubicación del Firewall, redes inalámbricas, servidores, canales de comunicación, elementos de red (</w:t>
      </w:r>
      <w:proofErr w:type="spellStart"/>
      <w:r>
        <w:t>switches</w:t>
      </w:r>
      <w:proofErr w:type="spellEnd"/>
      <w:r>
        <w:t xml:space="preserve">, </w:t>
      </w:r>
      <w:proofErr w:type="spellStart"/>
      <w:r>
        <w:t>routers</w:t>
      </w:r>
      <w:proofErr w:type="spellEnd"/>
      <w:r>
        <w:t xml:space="preserve">, etc.) y servicios de red. </w:t>
      </w:r>
    </w:p>
    <w:p w:rsidR="0076001D" w:rsidRDefault="0034129A">
      <w:pPr>
        <w:spacing w:after="0" w:line="259" w:lineRule="auto"/>
        <w:ind w:left="0" w:right="8852" w:firstLine="0"/>
        <w:jc w:val="left"/>
      </w:pPr>
      <w:r>
        <w:rPr>
          <w:sz w:val="35"/>
        </w:rPr>
        <w:t xml:space="preserve"> </w:t>
      </w:r>
    </w:p>
    <w:p w:rsidR="0076001D" w:rsidRDefault="0034129A">
      <w:pPr>
        <w:ind w:left="835"/>
      </w:pPr>
      <w:r>
        <w:rPr>
          <w:noProof/>
          <w:lang w:val="es-ES" w:eastAsia="es-ES"/>
        </w:rPr>
        <w:lastRenderedPageBreak/>
        <w:drawing>
          <wp:inline distT="0" distB="0" distL="0" distR="0">
            <wp:extent cx="227546" cy="136525"/>
            <wp:effectExtent l="0" t="0" r="0" b="0"/>
            <wp:docPr id="15104" name="Picture 15104"/>
            <wp:cNvGraphicFramePr/>
            <a:graphic xmlns:a="http://schemas.openxmlformats.org/drawingml/2006/main">
              <a:graphicData uri="http://schemas.openxmlformats.org/drawingml/2006/picture">
                <pic:pic xmlns:pic="http://schemas.openxmlformats.org/drawingml/2006/picture">
                  <pic:nvPicPr>
                    <pic:cNvPr id="15104" name="Picture 15104"/>
                    <pic:cNvPicPr/>
                  </pic:nvPicPr>
                  <pic:blipFill>
                    <a:blip r:embed="rId8"/>
                    <a:stretch>
                      <a:fillRect/>
                    </a:stretch>
                  </pic:blipFill>
                  <pic:spPr>
                    <a:xfrm>
                      <a:off x="0" y="0"/>
                      <a:ext cx="227546" cy="136525"/>
                    </a:xfrm>
                    <a:prstGeom prst="rect">
                      <a:avLst/>
                    </a:prstGeom>
                  </pic:spPr>
                </pic:pic>
              </a:graphicData>
            </a:graphic>
          </wp:inline>
        </w:drawing>
      </w:r>
      <w:r>
        <w:t xml:space="preserve"> Es importante tener en cuenta que este diagrama es perfecto para la información pública, sin embargo, se debe tener una versión de este diagrama para la OAP en la cual se relacionen y se puedan identificar claramente los rangos de direcciones IpV4 tanto de servidores como de los segmentos de red configurados (incluyendo los de WIFI). Este diagrama se debe actualizar cuando se termine la implementación de IPv6 y debe permitir identificar las claramente las equivalencias de IPv4 a IPv6. Y que permita identificar los equipos de DHCP y DNS, conexiones VPN y elementos de contingencia. </w:t>
      </w:r>
    </w:p>
    <w:p w:rsidR="0076001D" w:rsidRDefault="0034129A">
      <w:pPr>
        <w:ind w:left="826" w:firstLine="0"/>
      </w:pPr>
      <w:r>
        <w:t xml:space="preserve">El objetivo de este diagrama es permitir a actuales y nuevos funcionarios del área y/o a proveedores, contratistas conocer en un único documento la disposición de la infraestructura TIC de la entidad. </w:t>
      </w:r>
    </w:p>
    <w:p w:rsidR="0076001D" w:rsidRDefault="0076001D">
      <w:pPr>
        <w:sectPr w:rsidR="0076001D">
          <w:type w:val="continuous"/>
          <w:pgSz w:w="12240" w:h="15840"/>
          <w:pgMar w:top="1440" w:right="1405" w:bottom="3364" w:left="1159" w:header="720" w:footer="720" w:gutter="0"/>
          <w:cols w:space="720"/>
        </w:sectPr>
      </w:pPr>
    </w:p>
    <w:p w:rsidR="0076001D" w:rsidRDefault="0034129A">
      <w:pPr>
        <w:spacing w:after="5895" w:line="259" w:lineRule="auto"/>
        <w:ind w:left="0" w:right="717" w:firstLine="0"/>
        <w:jc w:val="left"/>
      </w:pPr>
      <w:r>
        <w:lastRenderedPageBreak/>
        <w:t xml:space="preserve"> </w:t>
      </w:r>
    </w:p>
    <w:p w:rsidR="0076001D" w:rsidRDefault="0034129A">
      <w:pPr>
        <w:spacing w:after="0" w:line="259" w:lineRule="auto"/>
        <w:ind w:left="465" w:right="660" w:firstLine="0"/>
        <w:jc w:val="right"/>
      </w:pPr>
      <w:r>
        <w:rPr>
          <w:sz w:val="20"/>
        </w:rPr>
        <w:t xml:space="preserve"> </w:t>
      </w:r>
    </w:p>
    <w:p w:rsidR="0076001D" w:rsidRDefault="0034129A">
      <w:pPr>
        <w:spacing w:after="115" w:line="259" w:lineRule="auto"/>
        <w:ind w:left="0" w:right="717" w:firstLine="0"/>
        <w:jc w:val="left"/>
      </w:pPr>
      <w:r>
        <w:rPr>
          <w:sz w:val="18"/>
        </w:rPr>
        <w:t xml:space="preserve"> </w:t>
      </w:r>
    </w:p>
    <w:p w:rsidR="0076001D" w:rsidRDefault="0034129A">
      <w:pPr>
        <w:ind w:left="826" w:right="433" w:hanging="84"/>
      </w:pPr>
      <w:r>
        <w:rPr>
          <w:rFonts w:ascii="Calibri" w:eastAsia="Calibri" w:hAnsi="Calibri" w:cs="Calibri"/>
          <w:noProof/>
          <w:lang w:val="es-ES" w:eastAsia="es-ES"/>
        </w:rPr>
        <mc:AlternateContent>
          <mc:Choice Requires="wpg">
            <w:drawing>
              <wp:anchor distT="0" distB="0" distL="114300" distR="114300" simplePos="0" relativeHeight="251677696" behindDoc="0" locked="0" layoutInCell="1" allowOverlap="1">
                <wp:simplePos x="0" y="0"/>
                <wp:positionH relativeFrom="column">
                  <wp:posOffset>295148</wp:posOffset>
                </wp:positionH>
                <wp:positionV relativeFrom="paragraph">
                  <wp:posOffset>-4086492</wp:posOffset>
                </wp:positionV>
                <wp:extent cx="5668264" cy="4211320"/>
                <wp:effectExtent l="0" t="0" r="0" b="0"/>
                <wp:wrapSquare wrapText="bothSides"/>
                <wp:docPr id="169215" name="Group 169215"/>
                <wp:cNvGraphicFramePr/>
                <a:graphic xmlns:a="http://schemas.openxmlformats.org/drawingml/2006/main">
                  <a:graphicData uri="http://schemas.microsoft.com/office/word/2010/wordprocessingGroup">
                    <wpg:wgp>
                      <wpg:cNvGrpSpPr/>
                      <wpg:grpSpPr>
                        <a:xfrm>
                          <a:off x="0" y="0"/>
                          <a:ext cx="5668264" cy="4211320"/>
                          <a:chOff x="0" y="0"/>
                          <a:chExt cx="5668264" cy="4211320"/>
                        </a:xfrm>
                      </wpg:grpSpPr>
                      <pic:pic xmlns:pic="http://schemas.openxmlformats.org/drawingml/2006/picture">
                        <pic:nvPicPr>
                          <pic:cNvPr id="15209" name="Picture 15209"/>
                          <pic:cNvPicPr/>
                        </pic:nvPicPr>
                        <pic:blipFill>
                          <a:blip r:embed="rId150"/>
                          <a:stretch>
                            <a:fillRect/>
                          </a:stretch>
                        </pic:blipFill>
                        <pic:spPr>
                          <a:xfrm>
                            <a:off x="265430" y="0"/>
                            <a:ext cx="5402834" cy="3887470"/>
                          </a:xfrm>
                          <a:prstGeom prst="rect">
                            <a:avLst/>
                          </a:prstGeom>
                        </pic:spPr>
                      </pic:pic>
                      <pic:pic xmlns:pic="http://schemas.openxmlformats.org/drawingml/2006/picture">
                        <pic:nvPicPr>
                          <pic:cNvPr id="15211" name="Picture 15211"/>
                          <pic:cNvPicPr/>
                        </pic:nvPicPr>
                        <pic:blipFill>
                          <a:blip r:embed="rId119"/>
                          <a:stretch>
                            <a:fillRect/>
                          </a:stretch>
                        </pic:blipFill>
                        <pic:spPr>
                          <a:xfrm>
                            <a:off x="0" y="4033520"/>
                            <a:ext cx="177800" cy="177800"/>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169215" style="width:446.32pt;height:331.6pt;position:absolute;mso-position-horizontal-relative:text;mso-position-horizontal:absolute;margin-left:23.24pt;mso-position-vertical-relative:text;margin-top:-321.771pt;" coordsize="56682,42113">
                <v:shape id="Picture 15209" style="position:absolute;width:54028;height:38874;left:2654;top:0;" filled="f">
                  <v:imagedata r:id="rId151"/>
                </v:shape>
                <v:shape id="Picture 15211" style="position:absolute;width:1778;height:1778;left:0;top:40335;" filled="f">
                  <v:imagedata r:id="rId152"/>
                </v:shape>
                <w10:wrap type="square"/>
              </v:group>
            </w:pict>
          </mc:Fallback>
        </mc:AlternateContent>
      </w:r>
      <w:r>
        <w:rPr>
          <w:rFonts w:ascii="Times New Roman" w:eastAsia="Times New Roman" w:hAnsi="Times New Roman" w:cs="Times New Roman"/>
          <w:sz w:val="20"/>
        </w:rPr>
        <w:t xml:space="preserve">  </w:t>
      </w:r>
      <w:r>
        <w:t xml:space="preserve">Con respecto a la implementación del protocolo IPv6 en atención a los lineamientos emitidos por MINTIC mediante Resolución 2710 del 2017, la OAP se inició el contrato 53 de 2020 con el proveedor UNIÓN TEMPORAL UT IPV6 BG 2020, en el cual se incluye correctamente la planeación de esta implementación y las acciones realizadas son adecuadas, la actividad general ya está incluida en el Plan de seguridad y Privacidad de  la Información. Es importante que como parte de la ejecución de este contrato se  actualice toda la documentación de la infraestructura de TI y se realice la transferencia de conocimiento necesaria para que los funcionarios y contratistas del área puedan soportar y monitorear todos los servicios, sistemas y equipos de red. </w:t>
      </w:r>
    </w:p>
    <w:p w:rsidR="0076001D" w:rsidRDefault="0034129A">
      <w:pPr>
        <w:spacing w:after="0" w:line="259" w:lineRule="auto"/>
        <w:ind w:left="0" w:right="9364" w:firstLine="0"/>
        <w:jc w:val="left"/>
      </w:pPr>
      <w:r>
        <w:rPr>
          <w:sz w:val="21"/>
        </w:rPr>
        <w:t xml:space="preserve"> </w:t>
      </w:r>
    </w:p>
    <w:p w:rsidR="0076001D" w:rsidRDefault="0034129A">
      <w:pPr>
        <w:numPr>
          <w:ilvl w:val="0"/>
          <w:numId w:val="26"/>
        </w:numPr>
        <w:ind w:left="952" w:right="434" w:hanging="407"/>
      </w:pPr>
      <w:r>
        <w:t xml:space="preserve">El firewall se encuentra correctamente configurado en cuanto a las protecciones implementadas, el control de ancho de banda de internet, definición de interfaces y políticas de conexión, filtros web, control de Navegación y de aplicaciones. </w:t>
      </w:r>
    </w:p>
    <w:p w:rsidR="0076001D" w:rsidRDefault="0034129A">
      <w:pPr>
        <w:spacing w:after="0" w:line="259" w:lineRule="auto"/>
        <w:ind w:left="0" w:right="9364" w:firstLine="0"/>
        <w:jc w:val="left"/>
      </w:pPr>
      <w:r>
        <w:t xml:space="preserve"> </w:t>
      </w:r>
    </w:p>
    <w:p w:rsidR="0076001D" w:rsidRDefault="0034129A">
      <w:pPr>
        <w:numPr>
          <w:ilvl w:val="0"/>
          <w:numId w:val="26"/>
        </w:numPr>
        <w:ind w:left="952" w:right="434" w:hanging="407"/>
      </w:pPr>
      <w:r>
        <w:t xml:space="preserve">En cuanto al control de aplicaciones y navegación, se encuentran configurados 4 grupos principales: AC_SISTEMAS, APP_COMUNICAC, APP_RESTING y Servers, sobre los cuales se definen las aplicaciones permitidas por el firewall a grupos de usuarios dependiendo de sus necesidades laborales. Basados en esto grupos de usuarios creados en el directorio activo para definir sus respectivos </w:t>
      </w:r>
      <w:r>
        <w:lastRenderedPageBreak/>
        <w:t>permisos, de navegación, de bloqueos y de conexión, en la siguiente imagen se evidencia la configuración del control de aplicaciones para estos grupos, los otros 3 grupos (block-</w:t>
      </w:r>
      <w:proofErr w:type="spellStart"/>
      <w:r>
        <w:t>high</w:t>
      </w:r>
      <w:proofErr w:type="spellEnd"/>
      <w:r>
        <w:t>-</w:t>
      </w:r>
      <w:proofErr w:type="spellStart"/>
      <w:r>
        <w:t>risk</w:t>
      </w:r>
      <w:proofErr w:type="spellEnd"/>
      <w:r>
        <w:t xml:space="preserve">, default, </w:t>
      </w:r>
      <w:proofErr w:type="spellStart"/>
      <w:r>
        <w:t>wifi</w:t>
      </w:r>
      <w:proofErr w:type="spellEnd"/>
      <w:r>
        <w:t xml:space="preserve">-default) </w:t>
      </w:r>
    </w:p>
    <w:p w:rsidR="0076001D" w:rsidRDefault="0034129A">
      <w:pPr>
        <w:spacing w:after="158" w:line="259" w:lineRule="auto"/>
        <w:ind w:left="0" w:firstLine="0"/>
        <w:jc w:val="left"/>
      </w:pPr>
      <w:r>
        <w:rPr>
          <w:sz w:val="14"/>
        </w:rPr>
        <w:t xml:space="preserve"> </w:t>
      </w:r>
    </w:p>
    <w:p w:rsidR="0076001D" w:rsidRDefault="0034129A">
      <w:pPr>
        <w:ind w:left="826" w:firstLine="0"/>
      </w:pPr>
      <w:proofErr w:type="gramStart"/>
      <w:r>
        <w:t>son</w:t>
      </w:r>
      <w:proofErr w:type="gramEnd"/>
      <w:r>
        <w:t xml:space="preserve"> los recomendados y viene configurados por defecto por el fabricante del firewall y su función es bloquear aplicaciones consideradas como riesgosas: </w:t>
      </w:r>
    </w:p>
    <w:p w:rsidR="0076001D" w:rsidRDefault="0034129A">
      <w:pPr>
        <w:spacing w:after="0" w:line="259" w:lineRule="auto"/>
        <w:ind w:left="0" w:firstLine="0"/>
        <w:jc w:val="left"/>
      </w:pPr>
      <w:r>
        <w:rPr>
          <w:sz w:val="18"/>
        </w:rPr>
        <w:t xml:space="preserve"> </w:t>
      </w:r>
    </w:p>
    <w:p w:rsidR="0076001D" w:rsidRDefault="0034129A">
      <w:pPr>
        <w:spacing w:after="10" w:line="259" w:lineRule="auto"/>
        <w:ind w:left="654" w:firstLine="0"/>
        <w:jc w:val="left"/>
      </w:pPr>
      <w:r>
        <w:rPr>
          <w:noProof/>
          <w:lang w:val="es-ES" w:eastAsia="es-ES"/>
        </w:rPr>
        <w:drawing>
          <wp:inline distT="0" distB="0" distL="0" distR="0">
            <wp:extent cx="5619116" cy="3303905"/>
            <wp:effectExtent l="0" t="0" r="0" b="0"/>
            <wp:docPr id="15272" name="Picture 15272"/>
            <wp:cNvGraphicFramePr/>
            <a:graphic xmlns:a="http://schemas.openxmlformats.org/drawingml/2006/main">
              <a:graphicData uri="http://schemas.openxmlformats.org/drawingml/2006/picture">
                <pic:pic xmlns:pic="http://schemas.openxmlformats.org/drawingml/2006/picture">
                  <pic:nvPicPr>
                    <pic:cNvPr id="15272" name="Picture 15272"/>
                    <pic:cNvPicPr/>
                  </pic:nvPicPr>
                  <pic:blipFill>
                    <a:blip r:embed="rId153"/>
                    <a:stretch>
                      <a:fillRect/>
                    </a:stretch>
                  </pic:blipFill>
                  <pic:spPr>
                    <a:xfrm>
                      <a:off x="0" y="0"/>
                      <a:ext cx="5619116" cy="3303905"/>
                    </a:xfrm>
                    <a:prstGeom prst="rect">
                      <a:avLst/>
                    </a:prstGeom>
                  </pic:spPr>
                </pic:pic>
              </a:graphicData>
            </a:graphic>
          </wp:inline>
        </w:drawing>
      </w:r>
    </w:p>
    <w:p w:rsidR="0076001D" w:rsidRDefault="0034129A">
      <w:pPr>
        <w:spacing w:after="0" w:line="259" w:lineRule="auto"/>
        <w:ind w:left="0" w:firstLine="0"/>
        <w:jc w:val="left"/>
      </w:pPr>
      <w:r>
        <w:rPr>
          <w:sz w:val="24"/>
        </w:rPr>
        <w:t xml:space="preserve"> </w:t>
      </w:r>
    </w:p>
    <w:p w:rsidR="0076001D" w:rsidRDefault="0034129A">
      <w:pPr>
        <w:spacing w:after="154" w:line="259" w:lineRule="auto"/>
        <w:ind w:left="0" w:firstLine="0"/>
        <w:jc w:val="left"/>
      </w:pPr>
      <w:r>
        <w:rPr>
          <w:sz w:val="24"/>
        </w:rPr>
        <w:t xml:space="preserve"> </w:t>
      </w:r>
    </w:p>
    <w:p w:rsidR="0076001D" w:rsidRDefault="0034129A">
      <w:pPr>
        <w:numPr>
          <w:ilvl w:val="0"/>
          <w:numId w:val="26"/>
        </w:numPr>
        <w:ind w:left="952" w:right="434" w:hanging="407"/>
      </w:pPr>
      <w:r>
        <w:t xml:space="preserve">En la siguiente imagen se evidencia la adecuada creación de tres grupos en el directorio activo para el control de navegación en internet: </w:t>
      </w:r>
      <w:proofErr w:type="spellStart"/>
      <w:r>
        <w:rPr>
          <w:i/>
        </w:rPr>
        <w:t>nav_Comunicaciones</w:t>
      </w:r>
      <w:proofErr w:type="spellEnd"/>
      <w:r>
        <w:rPr>
          <w:i/>
        </w:rPr>
        <w:t xml:space="preserve">, </w:t>
      </w:r>
      <w:proofErr w:type="spellStart"/>
      <w:r>
        <w:rPr>
          <w:i/>
        </w:rPr>
        <w:t>nav_Restringido</w:t>
      </w:r>
      <w:proofErr w:type="spellEnd"/>
      <w:r>
        <w:rPr>
          <w:i/>
        </w:rPr>
        <w:t xml:space="preserve"> y </w:t>
      </w:r>
      <w:proofErr w:type="spellStart"/>
      <w:r>
        <w:rPr>
          <w:i/>
        </w:rPr>
        <w:t>nav_VIP</w:t>
      </w:r>
      <w:proofErr w:type="spellEnd"/>
      <w:r>
        <w:t xml:space="preserve">, y los integrantes del grupo </w:t>
      </w:r>
      <w:proofErr w:type="spellStart"/>
      <w:r>
        <w:rPr>
          <w:i/>
        </w:rPr>
        <w:t>nav_VIP</w:t>
      </w:r>
      <w:proofErr w:type="spellEnd"/>
      <w:r>
        <w:t xml:space="preserve">, cuyos usuarios son los del </w:t>
      </w:r>
      <w:proofErr w:type="spellStart"/>
      <w:r>
        <w:t>area</w:t>
      </w:r>
      <w:proofErr w:type="spellEnd"/>
      <w:r>
        <w:t xml:space="preserve"> de TI de la OAP: </w:t>
      </w:r>
    </w:p>
    <w:p w:rsidR="0076001D" w:rsidRDefault="0034129A">
      <w:pPr>
        <w:spacing w:after="0" w:line="259" w:lineRule="auto"/>
        <w:ind w:left="0" w:firstLine="0"/>
        <w:jc w:val="left"/>
      </w:pPr>
      <w:r>
        <w:rPr>
          <w:sz w:val="18"/>
        </w:rPr>
        <w:t xml:space="preserve"> </w:t>
      </w:r>
    </w:p>
    <w:p w:rsidR="0076001D" w:rsidRDefault="0034129A">
      <w:pPr>
        <w:spacing w:after="0" w:line="259" w:lineRule="auto"/>
        <w:ind w:left="1022" w:firstLine="0"/>
        <w:jc w:val="left"/>
      </w:pPr>
      <w:r>
        <w:rPr>
          <w:noProof/>
          <w:lang w:val="es-ES" w:eastAsia="es-ES"/>
        </w:rPr>
        <w:lastRenderedPageBreak/>
        <w:drawing>
          <wp:inline distT="0" distB="0" distL="0" distR="0">
            <wp:extent cx="5097908" cy="2491740"/>
            <wp:effectExtent l="0" t="0" r="0" b="0"/>
            <wp:docPr id="15274" name="Picture 15274"/>
            <wp:cNvGraphicFramePr/>
            <a:graphic xmlns:a="http://schemas.openxmlformats.org/drawingml/2006/main">
              <a:graphicData uri="http://schemas.openxmlformats.org/drawingml/2006/picture">
                <pic:pic xmlns:pic="http://schemas.openxmlformats.org/drawingml/2006/picture">
                  <pic:nvPicPr>
                    <pic:cNvPr id="15274" name="Picture 15274"/>
                    <pic:cNvPicPr/>
                  </pic:nvPicPr>
                  <pic:blipFill>
                    <a:blip r:embed="rId154"/>
                    <a:stretch>
                      <a:fillRect/>
                    </a:stretch>
                  </pic:blipFill>
                  <pic:spPr>
                    <a:xfrm>
                      <a:off x="0" y="0"/>
                      <a:ext cx="5097908" cy="2491740"/>
                    </a:xfrm>
                    <a:prstGeom prst="rect">
                      <a:avLst/>
                    </a:prstGeom>
                  </pic:spPr>
                </pic:pic>
              </a:graphicData>
            </a:graphic>
          </wp:inline>
        </w:drawing>
      </w:r>
    </w:p>
    <w:p w:rsidR="0076001D" w:rsidRDefault="0034129A">
      <w:pPr>
        <w:spacing w:after="12" w:line="259" w:lineRule="auto"/>
        <w:ind w:left="0" w:firstLine="0"/>
        <w:jc w:val="left"/>
      </w:pPr>
      <w:r>
        <w:rPr>
          <w:sz w:val="20"/>
        </w:rPr>
        <w:t xml:space="preserve"> </w:t>
      </w:r>
    </w:p>
    <w:p w:rsidR="0076001D" w:rsidRDefault="0034129A">
      <w:pPr>
        <w:spacing w:after="0" w:line="259" w:lineRule="auto"/>
        <w:ind w:left="0" w:firstLine="0"/>
        <w:jc w:val="left"/>
      </w:pPr>
      <w:r>
        <w:t xml:space="preserve"> </w:t>
      </w:r>
    </w:p>
    <w:p w:rsidR="0076001D" w:rsidRDefault="0034129A">
      <w:pPr>
        <w:numPr>
          <w:ilvl w:val="0"/>
          <w:numId w:val="26"/>
        </w:numPr>
        <w:ind w:left="952" w:right="434" w:hanging="407"/>
      </w:pPr>
      <w:r>
        <w:t xml:space="preserve">En la imagen se muestra la correcta definición de las </w:t>
      </w:r>
      <w:proofErr w:type="spellStart"/>
      <w:r>
        <w:t>politicas</w:t>
      </w:r>
      <w:proofErr w:type="spellEnd"/>
      <w:r>
        <w:t xml:space="preserve"> aplicadas a los grupos de usuarios: </w:t>
      </w:r>
    </w:p>
    <w:p w:rsidR="0076001D" w:rsidRDefault="0034129A">
      <w:pPr>
        <w:spacing w:after="0" w:line="259" w:lineRule="auto"/>
        <w:ind w:left="0" w:firstLine="0"/>
        <w:jc w:val="left"/>
      </w:pPr>
      <w:r>
        <w:rPr>
          <w:sz w:val="18"/>
        </w:rPr>
        <w:t xml:space="preserve"> </w:t>
      </w:r>
    </w:p>
    <w:p w:rsidR="0076001D" w:rsidRDefault="0034129A">
      <w:pPr>
        <w:spacing w:after="8" w:line="259" w:lineRule="auto"/>
        <w:ind w:left="664" w:firstLine="0"/>
        <w:jc w:val="left"/>
      </w:pPr>
      <w:r>
        <w:rPr>
          <w:noProof/>
          <w:lang w:val="es-ES" w:eastAsia="es-ES"/>
        </w:rPr>
        <w:drawing>
          <wp:inline distT="0" distB="0" distL="0" distR="0">
            <wp:extent cx="5676266" cy="3178175"/>
            <wp:effectExtent l="0" t="0" r="0" b="0"/>
            <wp:docPr id="15329" name="Picture 15329"/>
            <wp:cNvGraphicFramePr/>
            <a:graphic xmlns:a="http://schemas.openxmlformats.org/drawingml/2006/main">
              <a:graphicData uri="http://schemas.openxmlformats.org/drawingml/2006/picture">
                <pic:pic xmlns:pic="http://schemas.openxmlformats.org/drawingml/2006/picture">
                  <pic:nvPicPr>
                    <pic:cNvPr id="15329" name="Picture 15329"/>
                    <pic:cNvPicPr/>
                  </pic:nvPicPr>
                  <pic:blipFill>
                    <a:blip r:embed="rId155"/>
                    <a:stretch>
                      <a:fillRect/>
                    </a:stretch>
                  </pic:blipFill>
                  <pic:spPr>
                    <a:xfrm>
                      <a:off x="0" y="0"/>
                      <a:ext cx="5676266" cy="3178175"/>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spacing w:after="49" w:line="259" w:lineRule="auto"/>
        <w:ind w:left="0" w:firstLine="0"/>
        <w:jc w:val="left"/>
      </w:pPr>
      <w:r>
        <w:rPr>
          <w:sz w:val="16"/>
        </w:rPr>
        <w:t xml:space="preserve"> </w:t>
      </w:r>
    </w:p>
    <w:p w:rsidR="0076001D" w:rsidRDefault="0034129A">
      <w:pPr>
        <w:numPr>
          <w:ilvl w:val="0"/>
          <w:numId w:val="26"/>
        </w:numPr>
        <w:ind w:left="952" w:right="434" w:hanging="407"/>
      </w:pPr>
      <w:r>
        <w:t xml:space="preserve">La configuración de estos grupos de usuarios en el firewall y su </w:t>
      </w:r>
      <w:proofErr w:type="spellStart"/>
      <w:r>
        <w:t>relacion</w:t>
      </w:r>
      <w:proofErr w:type="spellEnd"/>
      <w:r>
        <w:t xml:space="preserve"> con los grupos del directorio activo se muestra en la siguiente imagen, en donde </w:t>
      </w:r>
      <w:proofErr w:type="spellStart"/>
      <w:r>
        <w:t>tambien</w:t>
      </w:r>
      <w:proofErr w:type="spellEnd"/>
      <w:r>
        <w:t xml:space="preserve"> se muestran los grupos de usuarios de VPN que se encuentran correctamente identificados en el firewall: </w:t>
      </w:r>
    </w:p>
    <w:p w:rsidR="0076001D" w:rsidRDefault="0034129A">
      <w:pPr>
        <w:spacing w:after="0" w:line="259" w:lineRule="auto"/>
        <w:ind w:left="0" w:firstLine="0"/>
        <w:jc w:val="left"/>
      </w:pPr>
      <w:r>
        <w:rPr>
          <w:sz w:val="18"/>
        </w:rPr>
        <w:t xml:space="preserve"> </w:t>
      </w:r>
    </w:p>
    <w:p w:rsidR="0076001D" w:rsidRDefault="0034129A">
      <w:pPr>
        <w:spacing w:after="0" w:line="259" w:lineRule="auto"/>
        <w:ind w:left="1687" w:firstLine="0"/>
        <w:jc w:val="left"/>
      </w:pPr>
      <w:r>
        <w:rPr>
          <w:noProof/>
          <w:lang w:val="es-ES" w:eastAsia="es-ES"/>
        </w:rPr>
        <w:lastRenderedPageBreak/>
        <w:drawing>
          <wp:inline distT="0" distB="0" distL="0" distR="0">
            <wp:extent cx="4314190" cy="2100580"/>
            <wp:effectExtent l="0" t="0" r="0" b="0"/>
            <wp:docPr id="15331" name="Picture 15331"/>
            <wp:cNvGraphicFramePr/>
            <a:graphic xmlns:a="http://schemas.openxmlformats.org/drawingml/2006/main">
              <a:graphicData uri="http://schemas.openxmlformats.org/drawingml/2006/picture">
                <pic:pic xmlns:pic="http://schemas.openxmlformats.org/drawingml/2006/picture">
                  <pic:nvPicPr>
                    <pic:cNvPr id="15331" name="Picture 15331"/>
                    <pic:cNvPicPr/>
                  </pic:nvPicPr>
                  <pic:blipFill>
                    <a:blip r:embed="rId156"/>
                    <a:stretch>
                      <a:fillRect/>
                    </a:stretch>
                  </pic:blipFill>
                  <pic:spPr>
                    <a:xfrm>
                      <a:off x="0" y="0"/>
                      <a:ext cx="4314190" cy="2100580"/>
                    </a:xfrm>
                    <a:prstGeom prst="rect">
                      <a:avLst/>
                    </a:prstGeom>
                  </pic:spPr>
                </pic:pic>
              </a:graphicData>
            </a:graphic>
          </wp:inline>
        </w:drawing>
      </w:r>
    </w:p>
    <w:p w:rsidR="0076001D" w:rsidRDefault="0034129A">
      <w:pPr>
        <w:spacing w:after="15" w:line="259" w:lineRule="auto"/>
        <w:ind w:left="0" w:firstLine="0"/>
        <w:jc w:val="left"/>
      </w:pPr>
      <w:r>
        <w:rPr>
          <w:sz w:val="20"/>
        </w:rPr>
        <w:t xml:space="preserve"> </w:t>
      </w:r>
    </w:p>
    <w:p w:rsidR="0076001D" w:rsidRDefault="0034129A">
      <w:pPr>
        <w:numPr>
          <w:ilvl w:val="0"/>
          <w:numId w:val="26"/>
        </w:numPr>
        <w:ind w:left="952" w:right="434" w:hanging="407"/>
      </w:pPr>
      <w:r>
        <w:t xml:space="preserve">En general se puede concluir que la configuración y funcionamiento del firewall es adecuada y cumple con su principal objetivo: proteger la seguridad perimetral del IDEP, es decir asegurar la red local (LAN) de ataques y posibles riesgos externos. Se denota un conocimiento adecuado de </w:t>
      </w:r>
      <w:proofErr w:type="gramStart"/>
      <w:r>
        <w:t>estas configuración</w:t>
      </w:r>
      <w:proofErr w:type="gramEnd"/>
      <w:r>
        <w:t xml:space="preserve"> y características del firewall de la entidad, por parte del contratista Oscar Orlando Lozano. En la revisión de informes y </w:t>
      </w:r>
      <w:proofErr w:type="spellStart"/>
      <w:r>
        <w:t>logs</w:t>
      </w:r>
      <w:proofErr w:type="spellEnd"/>
      <w:r>
        <w:t xml:space="preserve"> del se evidencia el correcto funcionamiento del mismo, como se aprecia en la siguiente imagen, en donde se muestra el informe resumido de la actividad del firewall entre el 7 y el 8 de septiembre verificando la detección de amenazas, bloqueos de aplicaciones y navegación entre otras: </w:t>
      </w:r>
    </w:p>
    <w:p w:rsidR="0076001D" w:rsidRDefault="0034129A">
      <w:pPr>
        <w:spacing w:after="10" w:line="259" w:lineRule="auto"/>
        <w:ind w:left="789" w:firstLine="0"/>
        <w:jc w:val="left"/>
      </w:pPr>
      <w:r>
        <w:rPr>
          <w:rFonts w:ascii="Calibri" w:eastAsia="Calibri" w:hAnsi="Calibri" w:cs="Calibri"/>
          <w:noProof/>
          <w:lang w:val="es-ES" w:eastAsia="es-ES"/>
        </w:rPr>
        <mc:AlternateContent>
          <mc:Choice Requires="wpg">
            <w:drawing>
              <wp:inline distT="0" distB="0" distL="0" distR="0">
                <wp:extent cx="5670551" cy="3619374"/>
                <wp:effectExtent l="0" t="0" r="0" b="0"/>
                <wp:docPr id="169604" name="Group 169604"/>
                <wp:cNvGraphicFramePr/>
                <a:graphic xmlns:a="http://schemas.openxmlformats.org/drawingml/2006/main">
                  <a:graphicData uri="http://schemas.microsoft.com/office/word/2010/wordprocessingGroup">
                    <wpg:wgp>
                      <wpg:cNvGrpSpPr/>
                      <wpg:grpSpPr>
                        <a:xfrm>
                          <a:off x="0" y="0"/>
                          <a:ext cx="5670551" cy="3619374"/>
                          <a:chOff x="0" y="0"/>
                          <a:chExt cx="5670551" cy="3619374"/>
                        </a:xfrm>
                      </wpg:grpSpPr>
                      <pic:pic xmlns:pic="http://schemas.openxmlformats.org/drawingml/2006/picture">
                        <pic:nvPicPr>
                          <pic:cNvPr id="15398" name="Picture 15398"/>
                          <pic:cNvPicPr/>
                        </pic:nvPicPr>
                        <pic:blipFill>
                          <a:blip r:embed="rId157"/>
                          <a:stretch>
                            <a:fillRect/>
                          </a:stretch>
                        </pic:blipFill>
                        <pic:spPr>
                          <a:xfrm>
                            <a:off x="3058795" y="71756"/>
                            <a:ext cx="2611755" cy="3547618"/>
                          </a:xfrm>
                          <a:prstGeom prst="rect">
                            <a:avLst/>
                          </a:prstGeom>
                        </pic:spPr>
                      </pic:pic>
                      <pic:pic xmlns:pic="http://schemas.openxmlformats.org/drawingml/2006/picture">
                        <pic:nvPicPr>
                          <pic:cNvPr id="15400" name="Picture 15400"/>
                          <pic:cNvPicPr/>
                        </pic:nvPicPr>
                        <pic:blipFill>
                          <a:blip r:embed="rId158"/>
                          <a:stretch>
                            <a:fillRect/>
                          </a:stretch>
                        </pic:blipFill>
                        <pic:spPr>
                          <a:xfrm>
                            <a:off x="0" y="0"/>
                            <a:ext cx="2890266" cy="3613150"/>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69604" style="width:446.5pt;height:284.99pt;mso-position-horizontal-relative:char;mso-position-vertical-relative:line" coordsize="56705,36193">
                <v:shape id="Picture 15398" style="position:absolute;width:26117;height:35476;left:30587;top:717;" filled="f">
                  <v:imagedata r:id="rId159"/>
                </v:shape>
                <v:shape id="Picture 15400" style="position:absolute;width:28902;height:36131;left:0;top:0;" filled="f">
                  <v:imagedata r:id="rId160"/>
                </v:shape>
              </v:group>
            </w:pict>
          </mc:Fallback>
        </mc:AlternateConten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right="9207" w:firstLine="0"/>
        <w:jc w:val="left"/>
      </w:pPr>
      <w:r>
        <w:rPr>
          <w:sz w:val="21"/>
        </w:rPr>
        <w:t xml:space="preserve"> </w:t>
      </w:r>
    </w:p>
    <w:p w:rsidR="0076001D" w:rsidRDefault="0034129A">
      <w:pPr>
        <w:ind w:left="914" w:right="434"/>
      </w:pPr>
      <w:r>
        <w:rPr>
          <w:noProof/>
          <w:lang w:val="es-ES" w:eastAsia="es-ES"/>
        </w:rPr>
        <w:lastRenderedPageBreak/>
        <w:drawing>
          <wp:inline distT="0" distB="0" distL="0" distR="0">
            <wp:extent cx="228600" cy="137160"/>
            <wp:effectExtent l="0" t="0" r="0" b="0"/>
            <wp:docPr id="15402" name="Picture 15402"/>
            <wp:cNvGraphicFramePr/>
            <a:graphic xmlns:a="http://schemas.openxmlformats.org/drawingml/2006/main">
              <a:graphicData uri="http://schemas.openxmlformats.org/drawingml/2006/picture">
                <pic:pic xmlns:pic="http://schemas.openxmlformats.org/drawingml/2006/picture">
                  <pic:nvPicPr>
                    <pic:cNvPr id="15402" name="Picture 15402"/>
                    <pic:cNvPicPr/>
                  </pic:nvPicPr>
                  <pic:blipFill>
                    <a:blip r:embed="rId8"/>
                    <a:stretch>
                      <a:fillRect/>
                    </a:stretch>
                  </pic:blipFill>
                  <pic:spPr>
                    <a:xfrm>
                      <a:off x="0" y="0"/>
                      <a:ext cx="228600" cy="137160"/>
                    </a:xfrm>
                    <a:prstGeom prst="rect">
                      <a:avLst/>
                    </a:prstGeom>
                  </pic:spPr>
                </pic:pic>
              </a:graphicData>
            </a:graphic>
          </wp:inline>
        </w:drawing>
      </w:r>
      <w:r>
        <w:t xml:space="preserve"> Si bien las configuraciones y protecciones en el firewall son las adecuadas, se debe fortalecer las acciones de corrección de alertas que indica el firewall es sus tableros de control e informes de </w:t>
      </w:r>
      <w:proofErr w:type="spellStart"/>
      <w:r>
        <w:t>monitoreos</w:t>
      </w:r>
      <w:proofErr w:type="spellEnd"/>
      <w:r>
        <w:t xml:space="preserve">, ya que están son parte esencial del mantenimiento de la seguridad en la entidad, en el informe de clasificación de seguridad del firewall generado durante la auditoria, se detectan 8 controles de seguridad recomendados Con resultados fallido y tres con dependencias no cumplidas que da una puntuación de -55: </w:t>
      </w:r>
    </w:p>
    <w:p w:rsidR="0076001D" w:rsidRDefault="0034129A">
      <w:pPr>
        <w:spacing w:after="0" w:line="259" w:lineRule="auto"/>
        <w:ind w:left="0" w:right="987" w:firstLine="0"/>
        <w:jc w:val="left"/>
      </w:pPr>
      <w:r>
        <w:t xml:space="preserve"> </w:t>
      </w:r>
    </w:p>
    <w:p w:rsidR="0076001D" w:rsidRDefault="0034129A">
      <w:pPr>
        <w:spacing w:after="0" w:line="259" w:lineRule="auto"/>
        <w:ind w:left="0" w:right="931" w:firstLine="0"/>
        <w:jc w:val="right"/>
      </w:pPr>
      <w:r>
        <w:rPr>
          <w:noProof/>
          <w:lang w:val="es-ES" w:eastAsia="es-ES"/>
        </w:rPr>
        <w:drawing>
          <wp:inline distT="0" distB="0" distL="0" distR="0">
            <wp:extent cx="4814952" cy="2763520"/>
            <wp:effectExtent l="0" t="0" r="0" b="0"/>
            <wp:docPr id="15918" name="Picture 15918"/>
            <wp:cNvGraphicFramePr/>
            <a:graphic xmlns:a="http://schemas.openxmlformats.org/drawingml/2006/main">
              <a:graphicData uri="http://schemas.openxmlformats.org/drawingml/2006/picture">
                <pic:pic xmlns:pic="http://schemas.openxmlformats.org/drawingml/2006/picture">
                  <pic:nvPicPr>
                    <pic:cNvPr id="15918" name="Picture 15918"/>
                    <pic:cNvPicPr/>
                  </pic:nvPicPr>
                  <pic:blipFill>
                    <a:blip r:embed="rId161"/>
                    <a:stretch>
                      <a:fillRect/>
                    </a:stretch>
                  </pic:blipFill>
                  <pic:spPr>
                    <a:xfrm>
                      <a:off x="0" y="0"/>
                      <a:ext cx="4814952" cy="2763520"/>
                    </a:xfrm>
                    <a:prstGeom prst="rect">
                      <a:avLst/>
                    </a:prstGeom>
                  </pic:spPr>
                </pic:pic>
              </a:graphicData>
            </a:graphic>
          </wp:inline>
        </w:drawing>
      </w:r>
      <w:r>
        <w:rPr>
          <w:sz w:val="20"/>
        </w:rPr>
        <w:t xml:space="preserve"> </w:t>
      </w:r>
    </w:p>
    <w:p w:rsidR="0076001D" w:rsidRDefault="0034129A">
      <w:pPr>
        <w:spacing w:after="0" w:line="259" w:lineRule="auto"/>
        <w:ind w:left="0" w:firstLine="0"/>
        <w:jc w:val="left"/>
      </w:pPr>
      <w:r>
        <w:rPr>
          <w:sz w:val="21"/>
        </w:rPr>
        <w:t xml:space="preserve"> </w:t>
      </w:r>
    </w:p>
    <w:p w:rsidR="0076001D" w:rsidRDefault="0034129A">
      <w:pPr>
        <w:spacing w:after="31"/>
        <w:ind w:left="914"/>
      </w:pPr>
      <w:r>
        <w:rPr>
          <w:noProof/>
          <w:lang w:val="es-ES" w:eastAsia="es-ES"/>
        </w:rPr>
        <w:drawing>
          <wp:inline distT="0" distB="0" distL="0" distR="0">
            <wp:extent cx="227546" cy="136525"/>
            <wp:effectExtent l="0" t="0" r="0" b="0"/>
            <wp:docPr id="15924" name="Picture 15924"/>
            <wp:cNvGraphicFramePr/>
            <a:graphic xmlns:a="http://schemas.openxmlformats.org/drawingml/2006/main">
              <a:graphicData uri="http://schemas.openxmlformats.org/drawingml/2006/picture">
                <pic:pic xmlns:pic="http://schemas.openxmlformats.org/drawingml/2006/picture">
                  <pic:nvPicPr>
                    <pic:cNvPr id="15924" name="Picture 15924"/>
                    <pic:cNvPicPr/>
                  </pic:nvPicPr>
                  <pic:blipFill>
                    <a:blip r:embed="rId8"/>
                    <a:stretch>
                      <a:fillRect/>
                    </a:stretch>
                  </pic:blipFill>
                  <pic:spPr>
                    <a:xfrm>
                      <a:off x="0" y="0"/>
                      <a:ext cx="227546" cy="136525"/>
                    </a:xfrm>
                    <a:prstGeom prst="rect">
                      <a:avLst/>
                    </a:prstGeom>
                  </pic:spPr>
                </pic:pic>
              </a:graphicData>
            </a:graphic>
          </wp:inline>
        </w:drawing>
      </w:r>
      <w:r>
        <w:t xml:space="preserve"> Los controles de seguridad que deben recomendados para conformidad y que deben atenderse son los siguientes: </w:t>
      </w:r>
    </w:p>
    <w:p w:rsidR="0076001D" w:rsidRDefault="0034129A">
      <w:pPr>
        <w:spacing w:after="0" w:line="259" w:lineRule="auto"/>
        <w:ind w:left="0" w:firstLine="0"/>
        <w:jc w:val="left"/>
      </w:pPr>
      <w:r>
        <w:rPr>
          <w:sz w:val="17"/>
        </w:rPr>
        <w:t xml:space="preserve"> </w:t>
      </w:r>
    </w:p>
    <w:p w:rsidR="0076001D" w:rsidRDefault="0034129A">
      <w:pPr>
        <w:tabs>
          <w:tab w:val="center" w:pos="2313"/>
          <w:tab w:val="center" w:pos="3351"/>
          <w:tab w:val="center" w:pos="6929"/>
          <w:tab w:val="center" w:pos="7701"/>
        </w:tabs>
        <w:spacing w:after="0" w:line="259" w:lineRule="auto"/>
        <w:ind w:left="0" w:firstLine="0"/>
        <w:jc w:val="left"/>
      </w:pPr>
      <w:r>
        <w:rPr>
          <w:rFonts w:ascii="Calibri" w:eastAsia="Calibri" w:hAnsi="Calibri" w:cs="Calibri"/>
        </w:rPr>
        <w:tab/>
      </w:r>
      <w:r>
        <w:rPr>
          <w:rFonts w:ascii="Calibri" w:eastAsia="Calibri" w:hAnsi="Calibri" w:cs="Calibri"/>
          <w:b/>
          <w:color w:val="FFFFFF"/>
          <w:sz w:val="10"/>
        </w:rPr>
        <w:t xml:space="preserve">Conformidad </w:t>
      </w:r>
      <w:r>
        <w:rPr>
          <w:rFonts w:ascii="Calibri" w:eastAsia="Calibri" w:hAnsi="Calibri" w:cs="Calibri"/>
          <w:b/>
          <w:color w:val="FFFFFF"/>
          <w:sz w:val="10"/>
        </w:rPr>
        <w:tab/>
      </w:r>
      <w:r>
        <w:rPr>
          <w:rFonts w:ascii="Calibri" w:eastAsia="Calibri" w:hAnsi="Calibri" w:cs="Calibri"/>
          <w:b/>
          <w:sz w:val="10"/>
        </w:rPr>
        <w:t xml:space="preserve"> </w:t>
      </w:r>
      <w:r>
        <w:rPr>
          <w:rFonts w:ascii="Calibri" w:eastAsia="Calibri" w:hAnsi="Calibri" w:cs="Calibri"/>
          <w:b/>
          <w:color w:val="FFFFFF"/>
          <w:sz w:val="10"/>
        </w:rPr>
        <w:t>Control de seguridad</w:t>
      </w:r>
      <w:r>
        <w:rPr>
          <w:rFonts w:ascii="Calibri" w:eastAsia="Calibri" w:hAnsi="Calibri" w:cs="Calibri"/>
          <w:b/>
          <w:sz w:val="10"/>
        </w:rPr>
        <w:t xml:space="preserve"> </w:t>
      </w:r>
      <w:r>
        <w:rPr>
          <w:rFonts w:ascii="Calibri" w:eastAsia="Calibri" w:hAnsi="Calibri" w:cs="Calibri"/>
          <w:b/>
          <w:sz w:val="10"/>
        </w:rPr>
        <w:tab/>
      </w:r>
      <w:r>
        <w:rPr>
          <w:rFonts w:ascii="Calibri" w:eastAsia="Calibri" w:hAnsi="Calibri" w:cs="Calibri"/>
          <w:b/>
          <w:color w:val="FFFFFF"/>
          <w:sz w:val="10"/>
        </w:rPr>
        <w:t>Dispositivo</w:t>
      </w:r>
      <w:r>
        <w:rPr>
          <w:rFonts w:ascii="Calibri" w:eastAsia="Calibri" w:hAnsi="Calibri" w:cs="Calibri"/>
          <w:b/>
          <w:sz w:val="10"/>
        </w:rPr>
        <w:t xml:space="preserve"> </w:t>
      </w:r>
      <w:r>
        <w:rPr>
          <w:rFonts w:ascii="Calibri" w:eastAsia="Calibri" w:hAnsi="Calibri" w:cs="Calibri"/>
          <w:b/>
          <w:sz w:val="10"/>
        </w:rPr>
        <w:tab/>
      </w:r>
      <w:r>
        <w:rPr>
          <w:rFonts w:ascii="Calibri" w:eastAsia="Calibri" w:hAnsi="Calibri" w:cs="Calibri"/>
          <w:b/>
          <w:color w:val="FFFFFF"/>
          <w:sz w:val="10"/>
        </w:rPr>
        <w:t>Resultado</w:t>
      </w:r>
      <w:r>
        <w:rPr>
          <w:rFonts w:ascii="Calibri" w:eastAsia="Calibri" w:hAnsi="Calibri" w:cs="Calibri"/>
          <w:b/>
          <w:sz w:val="10"/>
        </w:rPr>
        <w:t xml:space="preserve"> </w:t>
      </w:r>
    </w:p>
    <w:tbl>
      <w:tblPr>
        <w:tblStyle w:val="TableGrid"/>
        <w:tblW w:w="6668" w:type="dxa"/>
        <w:tblInd w:w="1961" w:type="dxa"/>
        <w:tblCellMar>
          <w:top w:w="6" w:type="dxa"/>
          <w:right w:w="25" w:type="dxa"/>
        </w:tblCellMar>
        <w:tblLook w:val="04A0" w:firstRow="1" w:lastRow="0" w:firstColumn="1" w:lastColumn="0" w:noHBand="0" w:noVBand="1"/>
      </w:tblPr>
      <w:tblGrid>
        <w:gridCol w:w="869"/>
        <w:gridCol w:w="3797"/>
        <w:gridCol w:w="795"/>
        <w:gridCol w:w="1207"/>
      </w:tblGrid>
      <w:tr w:rsidR="0076001D">
        <w:trPr>
          <w:trHeight w:val="76"/>
        </w:trPr>
        <w:tc>
          <w:tcPr>
            <w:tcW w:w="869" w:type="dxa"/>
            <w:tcBorders>
              <w:top w:val="single" w:sz="41" w:space="0" w:color="000000"/>
              <w:left w:val="single" w:sz="4" w:space="0" w:color="A9D08E"/>
              <w:bottom w:val="single" w:sz="41" w:space="0" w:color="000000"/>
              <w:right w:val="nil"/>
            </w:tcBorders>
          </w:tcPr>
          <w:p w:rsidR="0076001D" w:rsidRDefault="0076001D">
            <w:pPr>
              <w:spacing w:after="160" w:line="259" w:lineRule="auto"/>
              <w:ind w:left="0" w:firstLine="0"/>
              <w:jc w:val="left"/>
            </w:pPr>
          </w:p>
        </w:tc>
        <w:tc>
          <w:tcPr>
            <w:tcW w:w="4592" w:type="dxa"/>
            <w:gridSpan w:val="2"/>
            <w:tcBorders>
              <w:top w:val="double" w:sz="4" w:space="0" w:color="A9D08E"/>
              <w:left w:val="nil"/>
              <w:bottom w:val="double" w:sz="4" w:space="0" w:color="A9D08E"/>
              <w:right w:val="nil"/>
            </w:tcBorders>
          </w:tcPr>
          <w:p w:rsidR="0076001D" w:rsidRDefault="0076001D">
            <w:pPr>
              <w:spacing w:after="160" w:line="259" w:lineRule="auto"/>
              <w:ind w:left="0" w:firstLine="0"/>
              <w:jc w:val="left"/>
            </w:pPr>
          </w:p>
        </w:tc>
        <w:tc>
          <w:tcPr>
            <w:tcW w:w="1207" w:type="dxa"/>
            <w:tcBorders>
              <w:top w:val="double" w:sz="4" w:space="0" w:color="A9D08E"/>
              <w:left w:val="nil"/>
              <w:bottom w:val="double" w:sz="4" w:space="0" w:color="A9D08E"/>
              <w:right w:val="single" w:sz="4" w:space="0" w:color="A9D08E"/>
            </w:tcBorders>
          </w:tcPr>
          <w:p w:rsidR="0076001D" w:rsidRDefault="0076001D">
            <w:pPr>
              <w:spacing w:after="160" w:line="259" w:lineRule="auto"/>
              <w:ind w:left="0" w:firstLine="0"/>
              <w:jc w:val="left"/>
            </w:pPr>
          </w:p>
        </w:tc>
      </w:tr>
      <w:tr w:rsidR="0076001D">
        <w:trPr>
          <w:trHeight w:val="282"/>
        </w:trPr>
        <w:tc>
          <w:tcPr>
            <w:tcW w:w="869" w:type="dxa"/>
            <w:tcBorders>
              <w:top w:val="single" w:sz="41" w:space="0" w:color="000000"/>
              <w:left w:val="single" w:sz="4" w:space="0" w:color="A9D08E"/>
              <w:bottom w:val="single" w:sz="4" w:space="0" w:color="A9D08E"/>
              <w:right w:val="nil"/>
            </w:tcBorders>
            <w:shd w:val="clear" w:color="auto" w:fill="E1EEDA"/>
          </w:tcPr>
          <w:p w:rsidR="0076001D" w:rsidRDefault="0034129A">
            <w:pPr>
              <w:spacing w:after="0" w:line="259" w:lineRule="auto"/>
              <w:ind w:left="5" w:firstLine="0"/>
              <w:jc w:val="left"/>
            </w:pPr>
            <w:r>
              <w:rPr>
                <w:sz w:val="13"/>
              </w:rPr>
              <w:t xml:space="preserve"> </w:t>
            </w:r>
          </w:p>
          <w:p w:rsidR="0076001D" w:rsidRDefault="0034129A">
            <w:pPr>
              <w:spacing w:after="0" w:line="259" w:lineRule="auto"/>
              <w:ind w:left="26" w:firstLine="0"/>
              <w:jc w:val="left"/>
            </w:pPr>
            <w:r>
              <w:rPr>
                <w:rFonts w:ascii="Calibri" w:eastAsia="Calibri" w:hAnsi="Calibri" w:cs="Calibri"/>
                <w:sz w:val="10"/>
              </w:rPr>
              <w:t xml:space="preserve">FSBP EM01.2 </w:t>
            </w:r>
          </w:p>
        </w:tc>
        <w:tc>
          <w:tcPr>
            <w:tcW w:w="4592" w:type="dxa"/>
            <w:gridSpan w:val="2"/>
            <w:tcBorders>
              <w:top w:val="double" w:sz="4" w:space="0" w:color="A9D08E"/>
              <w:left w:val="nil"/>
              <w:bottom w:val="single" w:sz="4" w:space="0" w:color="A9D08E"/>
              <w:right w:val="nil"/>
            </w:tcBorders>
            <w:shd w:val="clear" w:color="auto" w:fill="E1EEDA"/>
          </w:tcPr>
          <w:p w:rsidR="0076001D" w:rsidRDefault="0034129A">
            <w:pPr>
              <w:spacing w:after="0" w:line="259" w:lineRule="auto"/>
              <w:ind w:left="26" w:firstLine="0"/>
              <w:jc w:val="left"/>
            </w:pPr>
            <w:r>
              <w:rPr>
                <w:rFonts w:ascii="Calibri" w:eastAsia="Calibri" w:hAnsi="Calibri" w:cs="Calibri"/>
                <w:sz w:val="10"/>
              </w:rPr>
              <w:t xml:space="preserve">Vulnerabilidades de </w:t>
            </w:r>
            <w:proofErr w:type="spellStart"/>
            <w:r>
              <w:rPr>
                <w:rFonts w:ascii="Calibri" w:eastAsia="Calibri" w:hAnsi="Calibri" w:cs="Calibri"/>
                <w:sz w:val="10"/>
              </w:rPr>
              <w:t>FortiClient</w:t>
            </w:r>
            <w:proofErr w:type="spellEnd"/>
            <w:r>
              <w:rPr>
                <w:rFonts w:ascii="Calibri" w:eastAsia="Calibri" w:hAnsi="Calibri" w:cs="Calibri"/>
                <w:sz w:val="10"/>
              </w:rPr>
              <w:t xml:space="preserve">: todos los dispositivos </w:t>
            </w:r>
            <w:proofErr w:type="spellStart"/>
            <w:r>
              <w:rPr>
                <w:rFonts w:ascii="Calibri" w:eastAsia="Calibri" w:hAnsi="Calibri" w:cs="Calibri"/>
                <w:sz w:val="10"/>
              </w:rPr>
              <w:t>FortiClient</w:t>
            </w:r>
            <w:proofErr w:type="spellEnd"/>
            <w:r>
              <w:rPr>
                <w:rFonts w:ascii="Calibri" w:eastAsia="Calibri" w:hAnsi="Calibri" w:cs="Calibri"/>
                <w:sz w:val="10"/>
              </w:rPr>
              <w:t xml:space="preserve"> registrados </w:t>
            </w:r>
            <w:r>
              <w:rPr>
                <w:sz w:val="13"/>
              </w:rPr>
              <w:t xml:space="preserve"> </w:t>
            </w:r>
          </w:p>
          <w:p w:rsidR="0076001D" w:rsidRDefault="0034129A">
            <w:pPr>
              <w:tabs>
                <w:tab w:val="center" w:pos="3964"/>
              </w:tabs>
              <w:spacing w:after="0" w:line="259" w:lineRule="auto"/>
              <w:ind w:left="0" w:firstLine="0"/>
              <w:jc w:val="left"/>
            </w:pPr>
            <w:proofErr w:type="gramStart"/>
            <w:r>
              <w:rPr>
                <w:rFonts w:ascii="Calibri" w:eastAsia="Calibri" w:hAnsi="Calibri" w:cs="Calibri"/>
                <w:sz w:val="10"/>
              </w:rPr>
              <w:t>no</w:t>
            </w:r>
            <w:proofErr w:type="gramEnd"/>
            <w:r>
              <w:rPr>
                <w:rFonts w:ascii="Calibri" w:eastAsia="Calibri" w:hAnsi="Calibri" w:cs="Calibri"/>
                <w:sz w:val="10"/>
              </w:rPr>
              <w:t xml:space="preserve"> deben tener vulnerabilidades críticas. </w:t>
            </w:r>
            <w:r>
              <w:rPr>
                <w:rFonts w:ascii="Calibri" w:eastAsia="Calibri" w:hAnsi="Calibri" w:cs="Calibri"/>
                <w:sz w:val="10"/>
              </w:rPr>
              <w:tab/>
              <w:t xml:space="preserve">FW_1 </w:t>
            </w:r>
          </w:p>
        </w:tc>
        <w:tc>
          <w:tcPr>
            <w:tcW w:w="1207" w:type="dxa"/>
            <w:tcBorders>
              <w:top w:val="double" w:sz="4" w:space="0" w:color="A9D08E"/>
              <w:left w:val="nil"/>
              <w:bottom w:val="single" w:sz="4" w:space="0" w:color="A9D08E"/>
              <w:right w:val="single" w:sz="4" w:space="0" w:color="A9D08E"/>
            </w:tcBorders>
            <w:shd w:val="clear" w:color="auto" w:fill="E1EEDA"/>
          </w:tcPr>
          <w:p w:rsidR="0076001D" w:rsidRDefault="0034129A">
            <w:pPr>
              <w:spacing w:after="0" w:line="259" w:lineRule="auto"/>
              <w:ind w:left="29" w:firstLine="0"/>
              <w:jc w:val="left"/>
            </w:pPr>
            <w:r>
              <w:rPr>
                <w:rFonts w:ascii="Calibri" w:eastAsia="Calibri" w:hAnsi="Calibri" w:cs="Calibri"/>
                <w:sz w:val="10"/>
              </w:rPr>
              <w:t xml:space="preserve">dependencias no cumplidas </w:t>
            </w:r>
          </w:p>
        </w:tc>
      </w:tr>
      <w:tr w:rsidR="0076001D">
        <w:trPr>
          <w:trHeight w:val="290"/>
        </w:trPr>
        <w:tc>
          <w:tcPr>
            <w:tcW w:w="869" w:type="dxa"/>
            <w:tcBorders>
              <w:top w:val="single" w:sz="4" w:space="0" w:color="A9D08E"/>
              <w:left w:val="single" w:sz="4" w:space="0" w:color="A9D08E"/>
              <w:bottom w:val="single" w:sz="4" w:space="0" w:color="A9D08E"/>
              <w:right w:val="single" w:sz="4" w:space="0" w:color="D3D3D3"/>
            </w:tcBorders>
          </w:tcPr>
          <w:p w:rsidR="0076001D" w:rsidRDefault="0034129A">
            <w:pPr>
              <w:spacing w:after="0" w:line="259" w:lineRule="auto"/>
              <w:ind w:left="5" w:firstLine="0"/>
              <w:jc w:val="left"/>
            </w:pPr>
            <w:r>
              <w:rPr>
                <w:sz w:val="13"/>
              </w:rPr>
              <w:t xml:space="preserve"> </w:t>
            </w:r>
          </w:p>
          <w:p w:rsidR="0076001D" w:rsidRDefault="0034129A">
            <w:pPr>
              <w:spacing w:after="0" w:line="259" w:lineRule="auto"/>
              <w:ind w:left="26" w:firstLine="0"/>
              <w:jc w:val="left"/>
            </w:pPr>
            <w:r>
              <w:rPr>
                <w:rFonts w:ascii="Calibri" w:eastAsia="Calibri" w:hAnsi="Calibri" w:cs="Calibri"/>
                <w:sz w:val="10"/>
              </w:rPr>
              <w:t xml:space="preserve">FSBP SH05.2 </w:t>
            </w:r>
          </w:p>
        </w:tc>
        <w:tc>
          <w:tcPr>
            <w:tcW w:w="3797"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26" w:firstLine="0"/>
              <w:jc w:val="left"/>
            </w:pPr>
            <w:r>
              <w:rPr>
                <w:rFonts w:ascii="Calibri" w:eastAsia="Calibri" w:hAnsi="Calibri" w:cs="Calibri"/>
                <w:sz w:val="10"/>
              </w:rPr>
              <w:t xml:space="preserve">Seguridad de la contraseña del administrador: la política de contraseñas debe hacer cumplir las contraseñas seguras. </w:t>
            </w:r>
          </w:p>
        </w:tc>
        <w:tc>
          <w:tcPr>
            <w:tcW w:w="794"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5" w:firstLine="0"/>
              <w:jc w:val="left"/>
            </w:pPr>
            <w:r>
              <w:rPr>
                <w:sz w:val="13"/>
              </w:rPr>
              <w:t xml:space="preserve"> </w:t>
            </w:r>
          </w:p>
          <w:p w:rsidR="0076001D" w:rsidRDefault="0034129A">
            <w:pPr>
              <w:spacing w:after="0" w:line="259" w:lineRule="auto"/>
              <w:ind w:left="26" w:firstLine="0"/>
              <w:jc w:val="left"/>
            </w:pPr>
            <w:r>
              <w:rPr>
                <w:rFonts w:ascii="Calibri" w:eastAsia="Calibri" w:hAnsi="Calibri" w:cs="Calibri"/>
                <w:sz w:val="10"/>
              </w:rPr>
              <w:t xml:space="preserve">FW_1 </w:t>
            </w:r>
          </w:p>
        </w:tc>
        <w:tc>
          <w:tcPr>
            <w:tcW w:w="1207" w:type="dxa"/>
            <w:tcBorders>
              <w:top w:val="single" w:sz="4" w:space="0" w:color="A9D08E"/>
              <w:left w:val="single" w:sz="4" w:space="0" w:color="D3D3D3"/>
              <w:bottom w:val="single" w:sz="4" w:space="0" w:color="A9D08E"/>
              <w:right w:val="single" w:sz="4" w:space="0" w:color="A9D08E"/>
            </w:tcBorders>
          </w:tcPr>
          <w:p w:rsidR="0076001D" w:rsidRDefault="0034129A">
            <w:pPr>
              <w:spacing w:after="0" w:line="259" w:lineRule="auto"/>
              <w:ind w:left="31" w:firstLine="0"/>
              <w:jc w:val="left"/>
            </w:pPr>
            <w:r>
              <w:rPr>
                <w:rFonts w:ascii="Calibri" w:eastAsia="Calibri" w:hAnsi="Calibri" w:cs="Calibri"/>
                <w:sz w:val="10"/>
              </w:rPr>
              <w:t xml:space="preserve">dependencias no cumplidas </w:t>
            </w:r>
          </w:p>
        </w:tc>
      </w:tr>
      <w:tr w:rsidR="0076001D">
        <w:trPr>
          <w:trHeight w:val="284"/>
        </w:trPr>
        <w:tc>
          <w:tcPr>
            <w:tcW w:w="869" w:type="dxa"/>
            <w:tcBorders>
              <w:top w:val="single" w:sz="4" w:space="0" w:color="A9D08E"/>
              <w:left w:val="single" w:sz="4" w:space="0" w:color="A9D08E"/>
              <w:bottom w:val="single" w:sz="4" w:space="0" w:color="A9D08E"/>
              <w:right w:val="nil"/>
            </w:tcBorders>
            <w:shd w:val="clear" w:color="auto" w:fill="E1EEDA"/>
          </w:tcPr>
          <w:p w:rsidR="0076001D" w:rsidRDefault="0034129A">
            <w:pPr>
              <w:spacing w:after="0" w:line="259" w:lineRule="auto"/>
              <w:ind w:left="5" w:firstLine="0"/>
              <w:jc w:val="left"/>
            </w:pPr>
            <w:r>
              <w:rPr>
                <w:sz w:val="13"/>
              </w:rPr>
              <w:t xml:space="preserve"> </w:t>
            </w:r>
          </w:p>
          <w:p w:rsidR="0076001D" w:rsidRDefault="0034129A">
            <w:pPr>
              <w:spacing w:after="0" w:line="259" w:lineRule="auto"/>
              <w:ind w:left="26" w:firstLine="0"/>
              <w:jc w:val="left"/>
            </w:pPr>
            <w:r>
              <w:rPr>
                <w:rFonts w:ascii="Calibri" w:eastAsia="Calibri" w:hAnsi="Calibri" w:cs="Calibri"/>
                <w:sz w:val="10"/>
              </w:rPr>
              <w:t xml:space="preserve">FSBP ND04.1 </w:t>
            </w:r>
          </w:p>
        </w:tc>
        <w:tc>
          <w:tcPr>
            <w:tcW w:w="4592" w:type="dxa"/>
            <w:gridSpan w:val="2"/>
            <w:tcBorders>
              <w:top w:val="single" w:sz="4" w:space="0" w:color="A9D08E"/>
              <w:left w:val="nil"/>
              <w:bottom w:val="single" w:sz="4" w:space="0" w:color="A9D08E"/>
              <w:right w:val="nil"/>
            </w:tcBorders>
            <w:shd w:val="clear" w:color="auto" w:fill="E1EEDA"/>
          </w:tcPr>
          <w:p w:rsidR="0076001D" w:rsidRDefault="0034129A">
            <w:pPr>
              <w:tabs>
                <w:tab w:val="center" w:pos="3797"/>
              </w:tabs>
              <w:spacing w:after="0" w:line="259" w:lineRule="auto"/>
              <w:ind w:left="0" w:firstLine="0"/>
              <w:jc w:val="left"/>
            </w:pPr>
            <w:r>
              <w:rPr>
                <w:rFonts w:ascii="Calibri" w:eastAsia="Calibri" w:hAnsi="Calibri" w:cs="Calibri"/>
                <w:sz w:val="10"/>
              </w:rPr>
              <w:t xml:space="preserve">Servidores de segmento LAN: los servidores deben colocarse detrás de </w:t>
            </w:r>
            <w:r>
              <w:rPr>
                <w:rFonts w:ascii="Calibri" w:eastAsia="Calibri" w:hAnsi="Calibri" w:cs="Calibri"/>
                <w:sz w:val="10"/>
              </w:rPr>
              <w:tab/>
            </w:r>
            <w:r>
              <w:rPr>
                <w:sz w:val="13"/>
              </w:rPr>
              <w:t xml:space="preserve"> </w:t>
            </w:r>
          </w:p>
          <w:p w:rsidR="0076001D" w:rsidRDefault="0034129A">
            <w:pPr>
              <w:tabs>
                <w:tab w:val="center" w:pos="3964"/>
              </w:tabs>
              <w:spacing w:after="0" w:line="259" w:lineRule="auto"/>
              <w:ind w:left="0" w:firstLine="0"/>
              <w:jc w:val="left"/>
            </w:pPr>
            <w:proofErr w:type="gramStart"/>
            <w:r>
              <w:rPr>
                <w:rFonts w:ascii="Calibri" w:eastAsia="Calibri" w:hAnsi="Calibri" w:cs="Calibri"/>
                <w:sz w:val="10"/>
              </w:rPr>
              <w:t>interfaces</w:t>
            </w:r>
            <w:proofErr w:type="gramEnd"/>
            <w:r>
              <w:rPr>
                <w:rFonts w:ascii="Calibri" w:eastAsia="Calibri" w:hAnsi="Calibri" w:cs="Calibri"/>
                <w:sz w:val="10"/>
              </w:rPr>
              <w:t xml:space="preserve"> clasificadas como "DMZ". </w:t>
            </w:r>
            <w:r>
              <w:rPr>
                <w:rFonts w:ascii="Calibri" w:eastAsia="Calibri" w:hAnsi="Calibri" w:cs="Calibri"/>
                <w:sz w:val="10"/>
              </w:rPr>
              <w:tab/>
              <w:t xml:space="preserve">FW_1 </w:t>
            </w:r>
          </w:p>
        </w:tc>
        <w:tc>
          <w:tcPr>
            <w:tcW w:w="1207" w:type="dxa"/>
            <w:tcBorders>
              <w:top w:val="single" w:sz="4" w:space="0" w:color="A9D08E"/>
              <w:left w:val="nil"/>
              <w:bottom w:val="single" w:sz="4" w:space="0" w:color="A9D08E"/>
              <w:right w:val="single" w:sz="4" w:space="0" w:color="A9D08E"/>
            </w:tcBorders>
            <w:shd w:val="clear" w:color="auto" w:fill="E1EEDA"/>
          </w:tcPr>
          <w:p w:rsidR="0076001D" w:rsidRDefault="0034129A">
            <w:pPr>
              <w:spacing w:after="0" w:line="259" w:lineRule="auto"/>
              <w:ind w:left="29" w:firstLine="0"/>
              <w:jc w:val="left"/>
            </w:pPr>
            <w:r>
              <w:rPr>
                <w:rFonts w:ascii="Calibri" w:eastAsia="Calibri" w:hAnsi="Calibri" w:cs="Calibri"/>
                <w:sz w:val="10"/>
              </w:rPr>
              <w:t xml:space="preserve">dependencias no cumplidas </w:t>
            </w:r>
          </w:p>
        </w:tc>
      </w:tr>
      <w:tr w:rsidR="0076001D">
        <w:trPr>
          <w:trHeight w:val="434"/>
        </w:trPr>
        <w:tc>
          <w:tcPr>
            <w:tcW w:w="869" w:type="dxa"/>
            <w:tcBorders>
              <w:top w:val="single" w:sz="4" w:space="0" w:color="A9D08E"/>
              <w:left w:val="single" w:sz="4" w:space="0" w:color="A9D08E"/>
              <w:bottom w:val="single" w:sz="4" w:space="0" w:color="A9D08E"/>
              <w:right w:val="single" w:sz="4" w:space="0" w:color="D3D3D3"/>
            </w:tcBorders>
          </w:tcPr>
          <w:p w:rsidR="0076001D" w:rsidRDefault="0034129A">
            <w:pPr>
              <w:spacing w:after="0" w:line="259" w:lineRule="auto"/>
              <w:ind w:left="5" w:firstLine="0"/>
              <w:jc w:val="left"/>
            </w:pPr>
            <w:r>
              <w:rPr>
                <w:sz w:val="10"/>
              </w:rPr>
              <w:t xml:space="preserve"> </w:t>
            </w:r>
          </w:p>
          <w:p w:rsidR="0076001D" w:rsidRDefault="0034129A">
            <w:pPr>
              <w:spacing w:after="45" w:line="259" w:lineRule="auto"/>
              <w:ind w:left="5" w:firstLine="0"/>
              <w:jc w:val="left"/>
            </w:pPr>
            <w:r>
              <w:rPr>
                <w:sz w:val="10"/>
              </w:rPr>
              <w:t xml:space="preserve"> </w:t>
            </w:r>
          </w:p>
          <w:p w:rsidR="0076001D" w:rsidRDefault="0034129A">
            <w:pPr>
              <w:spacing w:after="0" w:line="259" w:lineRule="auto"/>
              <w:ind w:left="26" w:firstLine="0"/>
              <w:jc w:val="left"/>
            </w:pPr>
            <w:r>
              <w:rPr>
                <w:rFonts w:ascii="Calibri" w:eastAsia="Calibri" w:hAnsi="Calibri" w:cs="Calibri"/>
                <w:sz w:val="10"/>
              </w:rPr>
              <w:t xml:space="preserve">FSBP EM01.1 </w:t>
            </w:r>
          </w:p>
        </w:tc>
        <w:tc>
          <w:tcPr>
            <w:tcW w:w="3797"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26" w:firstLine="0"/>
              <w:jc w:val="left"/>
            </w:pPr>
            <w:r>
              <w:rPr>
                <w:rFonts w:ascii="Calibri" w:eastAsia="Calibri" w:hAnsi="Calibri" w:cs="Calibri"/>
                <w:sz w:val="10"/>
              </w:rPr>
              <w:t xml:space="preserve">Registro de punto final: las interfaces que están clasificadas como "LAN" y son utilizadas por una política deben tener habilitada la conexión de Security </w:t>
            </w:r>
            <w:proofErr w:type="spellStart"/>
            <w:r>
              <w:rPr>
                <w:rFonts w:ascii="Calibri" w:eastAsia="Calibri" w:hAnsi="Calibri" w:cs="Calibri"/>
                <w:sz w:val="10"/>
              </w:rPr>
              <w:t>Fabric</w:t>
            </w:r>
            <w:proofErr w:type="spellEnd"/>
            <w:r>
              <w:rPr>
                <w:rFonts w:ascii="Calibri" w:eastAsia="Calibri" w:hAnsi="Calibri" w:cs="Calibri"/>
                <w:sz w:val="10"/>
              </w:rPr>
              <w:t xml:space="preserve">. </w:t>
            </w:r>
          </w:p>
        </w:tc>
        <w:tc>
          <w:tcPr>
            <w:tcW w:w="794"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5" w:firstLine="0"/>
              <w:jc w:val="left"/>
            </w:pPr>
            <w:r>
              <w:rPr>
                <w:sz w:val="10"/>
              </w:rPr>
              <w:t xml:space="preserve"> </w:t>
            </w:r>
          </w:p>
          <w:p w:rsidR="0076001D" w:rsidRDefault="0034129A">
            <w:pPr>
              <w:spacing w:after="45" w:line="259" w:lineRule="auto"/>
              <w:ind w:left="5" w:firstLine="0"/>
              <w:jc w:val="left"/>
            </w:pPr>
            <w:r>
              <w:rPr>
                <w:sz w:val="10"/>
              </w:rPr>
              <w:t xml:space="preserve"> </w:t>
            </w:r>
          </w:p>
          <w:p w:rsidR="0076001D" w:rsidRDefault="0034129A">
            <w:pPr>
              <w:spacing w:after="0" w:line="259" w:lineRule="auto"/>
              <w:ind w:left="26" w:firstLine="0"/>
              <w:jc w:val="left"/>
            </w:pPr>
            <w:r>
              <w:rPr>
                <w:rFonts w:ascii="Calibri" w:eastAsia="Calibri" w:hAnsi="Calibri" w:cs="Calibri"/>
                <w:sz w:val="10"/>
              </w:rPr>
              <w:t xml:space="preserve">FW_1 </w:t>
            </w:r>
          </w:p>
        </w:tc>
        <w:tc>
          <w:tcPr>
            <w:tcW w:w="1207" w:type="dxa"/>
            <w:tcBorders>
              <w:top w:val="single" w:sz="4" w:space="0" w:color="A9D08E"/>
              <w:left w:val="single" w:sz="4" w:space="0" w:color="D3D3D3"/>
              <w:bottom w:val="single" w:sz="4" w:space="0" w:color="A9D08E"/>
              <w:right w:val="single" w:sz="4" w:space="0" w:color="A9D08E"/>
            </w:tcBorders>
          </w:tcPr>
          <w:p w:rsidR="0076001D" w:rsidRDefault="0034129A">
            <w:pPr>
              <w:spacing w:after="0" w:line="259" w:lineRule="auto"/>
              <w:ind w:left="7" w:firstLine="0"/>
              <w:jc w:val="left"/>
            </w:pPr>
            <w:r>
              <w:rPr>
                <w:sz w:val="10"/>
              </w:rPr>
              <w:t xml:space="preserve"> </w:t>
            </w:r>
          </w:p>
          <w:p w:rsidR="0076001D" w:rsidRDefault="0034129A">
            <w:pPr>
              <w:spacing w:after="45" w:line="259" w:lineRule="auto"/>
              <w:ind w:left="7" w:firstLine="0"/>
              <w:jc w:val="left"/>
            </w:pPr>
            <w:r>
              <w:rPr>
                <w:sz w:val="10"/>
              </w:rPr>
              <w:t xml:space="preserve"> </w:t>
            </w:r>
          </w:p>
          <w:p w:rsidR="0076001D" w:rsidRDefault="0034129A">
            <w:pPr>
              <w:spacing w:after="0" w:line="259" w:lineRule="auto"/>
              <w:ind w:left="31" w:firstLine="0"/>
              <w:jc w:val="left"/>
            </w:pPr>
            <w:r>
              <w:rPr>
                <w:rFonts w:ascii="Calibri" w:eastAsia="Calibri" w:hAnsi="Calibri" w:cs="Calibri"/>
                <w:sz w:val="10"/>
              </w:rPr>
              <w:t xml:space="preserve">fallido </w:t>
            </w:r>
          </w:p>
        </w:tc>
      </w:tr>
      <w:tr w:rsidR="0076001D">
        <w:trPr>
          <w:trHeight w:val="283"/>
        </w:trPr>
        <w:tc>
          <w:tcPr>
            <w:tcW w:w="869" w:type="dxa"/>
            <w:tcBorders>
              <w:top w:val="single" w:sz="4" w:space="0" w:color="A9D08E"/>
              <w:left w:val="single" w:sz="4" w:space="0" w:color="A9D08E"/>
              <w:bottom w:val="single" w:sz="4" w:space="0" w:color="A9D08E"/>
              <w:right w:val="nil"/>
            </w:tcBorders>
            <w:shd w:val="clear" w:color="auto" w:fill="E1EEDA"/>
          </w:tcPr>
          <w:p w:rsidR="0076001D" w:rsidRDefault="0034129A">
            <w:pPr>
              <w:spacing w:after="0" w:line="259" w:lineRule="auto"/>
              <w:ind w:left="5" w:firstLine="0"/>
              <w:jc w:val="left"/>
            </w:pPr>
            <w:r>
              <w:rPr>
                <w:sz w:val="13"/>
              </w:rPr>
              <w:t xml:space="preserve"> </w:t>
            </w:r>
          </w:p>
          <w:p w:rsidR="0076001D" w:rsidRDefault="0034129A">
            <w:pPr>
              <w:spacing w:after="0" w:line="259" w:lineRule="auto"/>
              <w:ind w:left="26" w:firstLine="0"/>
              <w:jc w:val="left"/>
            </w:pPr>
            <w:r>
              <w:rPr>
                <w:rFonts w:ascii="Calibri" w:eastAsia="Calibri" w:hAnsi="Calibri" w:cs="Calibri"/>
                <w:sz w:val="10"/>
              </w:rPr>
              <w:t xml:space="preserve">FSBP SH03.1 </w:t>
            </w:r>
          </w:p>
        </w:tc>
        <w:tc>
          <w:tcPr>
            <w:tcW w:w="4592" w:type="dxa"/>
            <w:gridSpan w:val="2"/>
            <w:tcBorders>
              <w:top w:val="single" w:sz="4" w:space="0" w:color="A9D08E"/>
              <w:left w:val="nil"/>
              <w:bottom w:val="single" w:sz="4" w:space="0" w:color="A9D08E"/>
              <w:right w:val="nil"/>
            </w:tcBorders>
            <w:shd w:val="clear" w:color="auto" w:fill="E1EEDA"/>
          </w:tcPr>
          <w:p w:rsidR="0076001D" w:rsidRDefault="0034129A">
            <w:pPr>
              <w:tabs>
                <w:tab w:val="center" w:pos="3797"/>
              </w:tabs>
              <w:spacing w:after="0" w:line="259" w:lineRule="auto"/>
              <w:ind w:left="0" w:firstLine="0"/>
              <w:jc w:val="left"/>
            </w:pPr>
            <w:r>
              <w:rPr>
                <w:rFonts w:ascii="Calibri" w:eastAsia="Calibri" w:hAnsi="Calibri" w:cs="Calibri"/>
                <w:sz w:val="10"/>
              </w:rPr>
              <w:t xml:space="preserve">Certificado HTTPS válido - GUI administrativa: la GUI administrativa debe </w:t>
            </w:r>
            <w:r>
              <w:rPr>
                <w:rFonts w:ascii="Calibri" w:eastAsia="Calibri" w:hAnsi="Calibri" w:cs="Calibri"/>
                <w:sz w:val="10"/>
              </w:rPr>
              <w:tab/>
            </w:r>
            <w:r>
              <w:rPr>
                <w:sz w:val="13"/>
              </w:rPr>
              <w:t xml:space="preserve"> </w:t>
            </w:r>
          </w:p>
          <w:p w:rsidR="0076001D" w:rsidRDefault="0034129A">
            <w:pPr>
              <w:tabs>
                <w:tab w:val="center" w:pos="3964"/>
              </w:tabs>
              <w:spacing w:after="0" w:line="259" w:lineRule="auto"/>
              <w:ind w:left="0" w:firstLine="0"/>
              <w:jc w:val="left"/>
            </w:pPr>
            <w:proofErr w:type="gramStart"/>
            <w:r>
              <w:rPr>
                <w:rFonts w:ascii="Calibri" w:eastAsia="Calibri" w:hAnsi="Calibri" w:cs="Calibri"/>
                <w:sz w:val="10"/>
              </w:rPr>
              <w:t>utilizar</w:t>
            </w:r>
            <w:proofErr w:type="gramEnd"/>
            <w:r>
              <w:rPr>
                <w:rFonts w:ascii="Calibri" w:eastAsia="Calibri" w:hAnsi="Calibri" w:cs="Calibri"/>
                <w:sz w:val="10"/>
              </w:rPr>
              <w:t xml:space="preserve"> un certificado válido y seguro. </w:t>
            </w:r>
            <w:r>
              <w:rPr>
                <w:rFonts w:ascii="Calibri" w:eastAsia="Calibri" w:hAnsi="Calibri" w:cs="Calibri"/>
                <w:sz w:val="10"/>
              </w:rPr>
              <w:tab/>
              <w:t xml:space="preserve">FW_1 </w:t>
            </w:r>
          </w:p>
        </w:tc>
        <w:tc>
          <w:tcPr>
            <w:tcW w:w="1207" w:type="dxa"/>
            <w:tcBorders>
              <w:top w:val="single" w:sz="4" w:space="0" w:color="A9D08E"/>
              <w:left w:val="nil"/>
              <w:bottom w:val="single" w:sz="4" w:space="0" w:color="A9D08E"/>
              <w:right w:val="single" w:sz="4" w:space="0" w:color="A9D08E"/>
            </w:tcBorders>
            <w:shd w:val="clear" w:color="auto" w:fill="E1EEDA"/>
          </w:tcPr>
          <w:p w:rsidR="0076001D" w:rsidRDefault="0034129A">
            <w:pPr>
              <w:spacing w:after="0" w:line="259" w:lineRule="auto"/>
              <w:ind w:left="29" w:right="840" w:hanging="29"/>
              <w:jc w:val="left"/>
            </w:pPr>
            <w:r>
              <w:rPr>
                <w:sz w:val="13"/>
              </w:rPr>
              <w:t xml:space="preserve"> </w:t>
            </w:r>
            <w:r>
              <w:rPr>
                <w:rFonts w:ascii="Calibri" w:eastAsia="Calibri" w:hAnsi="Calibri" w:cs="Calibri"/>
                <w:sz w:val="10"/>
              </w:rPr>
              <w:t xml:space="preserve">fallido </w:t>
            </w:r>
          </w:p>
        </w:tc>
      </w:tr>
      <w:tr w:rsidR="0076001D">
        <w:trPr>
          <w:trHeight w:val="290"/>
        </w:trPr>
        <w:tc>
          <w:tcPr>
            <w:tcW w:w="869" w:type="dxa"/>
            <w:tcBorders>
              <w:top w:val="single" w:sz="4" w:space="0" w:color="A9D08E"/>
              <w:left w:val="single" w:sz="4" w:space="0" w:color="A9D08E"/>
              <w:bottom w:val="single" w:sz="4" w:space="0" w:color="A9D08E"/>
              <w:right w:val="single" w:sz="4" w:space="0" w:color="D3D3D3"/>
            </w:tcBorders>
          </w:tcPr>
          <w:p w:rsidR="0076001D" w:rsidRDefault="0034129A">
            <w:pPr>
              <w:spacing w:after="0" w:line="259" w:lineRule="auto"/>
              <w:ind w:left="5" w:firstLine="0"/>
              <w:jc w:val="left"/>
            </w:pPr>
            <w:r>
              <w:rPr>
                <w:sz w:val="13"/>
              </w:rPr>
              <w:t xml:space="preserve"> </w:t>
            </w:r>
          </w:p>
          <w:p w:rsidR="0076001D" w:rsidRDefault="0034129A">
            <w:pPr>
              <w:spacing w:after="0" w:line="259" w:lineRule="auto"/>
              <w:ind w:left="26" w:firstLine="0"/>
              <w:jc w:val="left"/>
            </w:pPr>
            <w:r>
              <w:rPr>
                <w:rFonts w:ascii="Calibri" w:eastAsia="Calibri" w:hAnsi="Calibri" w:cs="Calibri"/>
                <w:sz w:val="10"/>
              </w:rPr>
              <w:t xml:space="preserve">FSBP SH05.1 </w:t>
            </w:r>
          </w:p>
        </w:tc>
        <w:tc>
          <w:tcPr>
            <w:tcW w:w="3797"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26" w:firstLine="0"/>
              <w:jc w:val="left"/>
            </w:pPr>
            <w:r>
              <w:rPr>
                <w:rFonts w:ascii="Calibri" w:eastAsia="Calibri" w:hAnsi="Calibri" w:cs="Calibri"/>
                <w:sz w:val="10"/>
              </w:rPr>
              <w:t xml:space="preserve">Política de contraseña de administrador: se debe configurar una política de contraseña para los administradores del sistema. </w:t>
            </w:r>
          </w:p>
        </w:tc>
        <w:tc>
          <w:tcPr>
            <w:tcW w:w="794"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5" w:firstLine="0"/>
              <w:jc w:val="left"/>
            </w:pPr>
            <w:r>
              <w:rPr>
                <w:sz w:val="13"/>
              </w:rPr>
              <w:t xml:space="preserve"> </w:t>
            </w:r>
          </w:p>
          <w:p w:rsidR="0076001D" w:rsidRDefault="0034129A">
            <w:pPr>
              <w:spacing w:after="0" w:line="259" w:lineRule="auto"/>
              <w:ind w:left="26" w:firstLine="0"/>
              <w:jc w:val="left"/>
            </w:pPr>
            <w:r>
              <w:rPr>
                <w:rFonts w:ascii="Calibri" w:eastAsia="Calibri" w:hAnsi="Calibri" w:cs="Calibri"/>
                <w:sz w:val="10"/>
              </w:rPr>
              <w:t xml:space="preserve">FW_1 </w:t>
            </w:r>
          </w:p>
        </w:tc>
        <w:tc>
          <w:tcPr>
            <w:tcW w:w="1207" w:type="dxa"/>
            <w:tcBorders>
              <w:top w:val="single" w:sz="4" w:space="0" w:color="A9D08E"/>
              <w:left w:val="single" w:sz="4" w:space="0" w:color="D3D3D3"/>
              <w:bottom w:val="single" w:sz="4" w:space="0" w:color="A9D08E"/>
              <w:right w:val="single" w:sz="4" w:space="0" w:color="A9D08E"/>
            </w:tcBorders>
          </w:tcPr>
          <w:p w:rsidR="0076001D" w:rsidRDefault="0034129A">
            <w:pPr>
              <w:spacing w:after="0" w:line="259" w:lineRule="auto"/>
              <w:ind w:left="31" w:right="833" w:hanging="24"/>
              <w:jc w:val="left"/>
            </w:pPr>
            <w:r>
              <w:rPr>
                <w:sz w:val="13"/>
              </w:rPr>
              <w:t xml:space="preserve"> </w:t>
            </w:r>
            <w:r>
              <w:rPr>
                <w:rFonts w:ascii="Calibri" w:eastAsia="Calibri" w:hAnsi="Calibri" w:cs="Calibri"/>
                <w:sz w:val="10"/>
              </w:rPr>
              <w:t xml:space="preserve">fallido </w:t>
            </w:r>
          </w:p>
        </w:tc>
      </w:tr>
      <w:tr w:rsidR="0076001D">
        <w:trPr>
          <w:trHeight w:val="283"/>
        </w:trPr>
        <w:tc>
          <w:tcPr>
            <w:tcW w:w="869" w:type="dxa"/>
            <w:tcBorders>
              <w:top w:val="single" w:sz="4" w:space="0" w:color="A9D08E"/>
              <w:left w:val="single" w:sz="4" w:space="0" w:color="A9D08E"/>
              <w:bottom w:val="single" w:sz="4" w:space="0" w:color="A9D08E"/>
              <w:right w:val="nil"/>
            </w:tcBorders>
            <w:shd w:val="clear" w:color="auto" w:fill="E1EEDA"/>
          </w:tcPr>
          <w:p w:rsidR="0076001D" w:rsidRDefault="0034129A">
            <w:pPr>
              <w:spacing w:after="0" w:line="259" w:lineRule="auto"/>
              <w:ind w:left="5" w:firstLine="0"/>
              <w:jc w:val="left"/>
            </w:pPr>
            <w:r>
              <w:rPr>
                <w:sz w:val="13"/>
              </w:rPr>
              <w:t xml:space="preserve"> </w:t>
            </w:r>
          </w:p>
          <w:p w:rsidR="0076001D" w:rsidRDefault="0034129A">
            <w:pPr>
              <w:spacing w:after="0" w:line="259" w:lineRule="auto"/>
              <w:ind w:left="26" w:firstLine="0"/>
              <w:jc w:val="left"/>
            </w:pPr>
            <w:r>
              <w:rPr>
                <w:rFonts w:ascii="Calibri" w:eastAsia="Calibri" w:hAnsi="Calibri" w:cs="Calibri"/>
                <w:sz w:val="10"/>
              </w:rPr>
              <w:t xml:space="preserve">FSBP FS03.1 </w:t>
            </w:r>
          </w:p>
        </w:tc>
        <w:tc>
          <w:tcPr>
            <w:tcW w:w="4592" w:type="dxa"/>
            <w:gridSpan w:val="2"/>
            <w:tcBorders>
              <w:top w:val="single" w:sz="4" w:space="0" w:color="A9D08E"/>
              <w:left w:val="nil"/>
              <w:bottom w:val="single" w:sz="4" w:space="0" w:color="A9D08E"/>
              <w:right w:val="nil"/>
            </w:tcBorders>
            <w:shd w:val="clear" w:color="auto" w:fill="E1EEDA"/>
          </w:tcPr>
          <w:p w:rsidR="0076001D" w:rsidRDefault="0034129A">
            <w:pPr>
              <w:spacing w:after="0" w:line="259" w:lineRule="auto"/>
              <w:ind w:left="26" w:firstLine="0"/>
              <w:jc w:val="left"/>
            </w:pPr>
            <w:r>
              <w:rPr>
                <w:rFonts w:ascii="Calibri" w:eastAsia="Calibri" w:hAnsi="Calibri" w:cs="Calibri"/>
                <w:sz w:val="10"/>
              </w:rPr>
              <w:t xml:space="preserve">Clasificación de seguridad: la suscripción a la clasificación de seguridad debe </w:t>
            </w:r>
            <w:r>
              <w:rPr>
                <w:sz w:val="13"/>
              </w:rPr>
              <w:t xml:space="preserve"> </w:t>
            </w:r>
          </w:p>
          <w:p w:rsidR="0076001D" w:rsidRDefault="0034129A">
            <w:pPr>
              <w:tabs>
                <w:tab w:val="center" w:pos="3964"/>
              </w:tabs>
              <w:spacing w:after="0" w:line="259" w:lineRule="auto"/>
              <w:ind w:left="0" w:firstLine="0"/>
              <w:jc w:val="left"/>
            </w:pPr>
            <w:proofErr w:type="gramStart"/>
            <w:r>
              <w:rPr>
                <w:rFonts w:ascii="Calibri" w:eastAsia="Calibri" w:hAnsi="Calibri" w:cs="Calibri"/>
                <w:sz w:val="10"/>
              </w:rPr>
              <w:t>ser</w:t>
            </w:r>
            <w:proofErr w:type="gramEnd"/>
            <w:r>
              <w:rPr>
                <w:rFonts w:ascii="Calibri" w:eastAsia="Calibri" w:hAnsi="Calibri" w:cs="Calibri"/>
                <w:sz w:val="10"/>
              </w:rPr>
              <w:t xml:space="preserve"> válida. </w:t>
            </w:r>
            <w:r>
              <w:rPr>
                <w:rFonts w:ascii="Calibri" w:eastAsia="Calibri" w:hAnsi="Calibri" w:cs="Calibri"/>
                <w:sz w:val="10"/>
              </w:rPr>
              <w:tab/>
              <w:t xml:space="preserve">FW_1 </w:t>
            </w:r>
          </w:p>
        </w:tc>
        <w:tc>
          <w:tcPr>
            <w:tcW w:w="1207" w:type="dxa"/>
            <w:tcBorders>
              <w:top w:val="single" w:sz="4" w:space="0" w:color="A9D08E"/>
              <w:left w:val="nil"/>
              <w:bottom w:val="single" w:sz="4" w:space="0" w:color="A9D08E"/>
              <w:right w:val="single" w:sz="4" w:space="0" w:color="A9D08E"/>
            </w:tcBorders>
            <w:shd w:val="clear" w:color="auto" w:fill="E1EEDA"/>
          </w:tcPr>
          <w:p w:rsidR="0076001D" w:rsidRDefault="0034129A">
            <w:pPr>
              <w:spacing w:after="0" w:line="259" w:lineRule="auto"/>
              <w:ind w:left="29" w:right="840" w:hanging="29"/>
              <w:jc w:val="left"/>
            </w:pPr>
            <w:r>
              <w:rPr>
                <w:sz w:val="13"/>
              </w:rPr>
              <w:t xml:space="preserve"> </w:t>
            </w:r>
            <w:r>
              <w:rPr>
                <w:rFonts w:ascii="Calibri" w:eastAsia="Calibri" w:hAnsi="Calibri" w:cs="Calibri"/>
                <w:sz w:val="10"/>
              </w:rPr>
              <w:t xml:space="preserve">fallido </w:t>
            </w:r>
          </w:p>
        </w:tc>
      </w:tr>
      <w:tr w:rsidR="0076001D">
        <w:trPr>
          <w:trHeight w:val="146"/>
        </w:trPr>
        <w:tc>
          <w:tcPr>
            <w:tcW w:w="869" w:type="dxa"/>
            <w:tcBorders>
              <w:top w:val="single" w:sz="4" w:space="0" w:color="A9D08E"/>
              <w:left w:val="single" w:sz="4" w:space="0" w:color="A9D08E"/>
              <w:bottom w:val="single" w:sz="4" w:space="0" w:color="A9D08E"/>
              <w:right w:val="single" w:sz="4" w:space="0" w:color="D3D3D3"/>
            </w:tcBorders>
          </w:tcPr>
          <w:p w:rsidR="0076001D" w:rsidRDefault="0034129A">
            <w:pPr>
              <w:spacing w:after="0" w:line="259" w:lineRule="auto"/>
              <w:ind w:left="26" w:firstLine="0"/>
              <w:jc w:val="left"/>
            </w:pPr>
            <w:r>
              <w:rPr>
                <w:rFonts w:ascii="Calibri" w:eastAsia="Calibri" w:hAnsi="Calibri" w:cs="Calibri"/>
                <w:sz w:val="10"/>
              </w:rPr>
              <w:t xml:space="preserve">FSBP ND03.1 </w:t>
            </w:r>
          </w:p>
        </w:tc>
        <w:tc>
          <w:tcPr>
            <w:tcW w:w="3797"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26" w:firstLine="0"/>
              <w:jc w:val="left"/>
            </w:pPr>
            <w:r>
              <w:rPr>
                <w:rFonts w:ascii="Calibri" w:eastAsia="Calibri" w:hAnsi="Calibri" w:cs="Calibri"/>
                <w:sz w:val="10"/>
              </w:rPr>
              <w:t xml:space="preserve">Políticas no utilizadas: se deben utilizar todas las políticas de IPv4. </w:t>
            </w:r>
          </w:p>
        </w:tc>
        <w:tc>
          <w:tcPr>
            <w:tcW w:w="794"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26" w:firstLine="0"/>
              <w:jc w:val="left"/>
            </w:pPr>
            <w:r>
              <w:rPr>
                <w:rFonts w:ascii="Calibri" w:eastAsia="Calibri" w:hAnsi="Calibri" w:cs="Calibri"/>
                <w:sz w:val="10"/>
              </w:rPr>
              <w:t xml:space="preserve">FW_1 </w:t>
            </w:r>
          </w:p>
        </w:tc>
        <w:tc>
          <w:tcPr>
            <w:tcW w:w="1207" w:type="dxa"/>
            <w:tcBorders>
              <w:top w:val="single" w:sz="4" w:space="0" w:color="A9D08E"/>
              <w:left w:val="single" w:sz="4" w:space="0" w:color="D3D3D3"/>
              <w:bottom w:val="single" w:sz="4" w:space="0" w:color="A9D08E"/>
              <w:right w:val="single" w:sz="4" w:space="0" w:color="A9D08E"/>
            </w:tcBorders>
          </w:tcPr>
          <w:p w:rsidR="0076001D" w:rsidRDefault="0034129A">
            <w:pPr>
              <w:spacing w:after="0" w:line="259" w:lineRule="auto"/>
              <w:ind w:left="31" w:firstLine="0"/>
              <w:jc w:val="left"/>
            </w:pPr>
            <w:r>
              <w:rPr>
                <w:rFonts w:ascii="Calibri" w:eastAsia="Calibri" w:hAnsi="Calibri" w:cs="Calibri"/>
                <w:sz w:val="10"/>
              </w:rPr>
              <w:t xml:space="preserve">fallido </w:t>
            </w:r>
          </w:p>
        </w:tc>
      </w:tr>
      <w:tr w:rsidR="0076001D">
        <w:trPr>
          <w:trHeight w:val="427"/>
        </w:trPr>
        <w:tc>
          <w:tcPr>
            <w:tcW w:w="869" w:type="dxa"/>
            <w:tcBorders>
              <w:top w:val="single" w:sz="4" w:space="0" w:color="A9D08E"/>
              <w:left w:val="single" w:sz="4" w:space="0" w:color="A9D08E"/>
              <w:bottom w:val="single" w:sz="4" w:space="0" w:color="A9D08E"/>
              <w:right w:val="nil"/>
            </w:tcBorders>
            <w:shd w:val="clear" w:color="auto" w:fill="E1EEDA"/>
          </w:tcPr>
          <w:p w:rsidR="0076001D" w:rsidRDefault="0034129A">
            <w:pPr>
              <w:spacing w:after="0" w:line="259" w:lineRule="auto"/>
              <w:ind w:left="5" w:firstLine="0"/>
              <w:jc w:val="left"/>
            </w:pPr>
            <w:r>
              <w:rPr>
                <w:sz w:val="10"/>
              </w:rPr>
              <w:t xml:space="preserve"> </w:t>
            </w:r>
          </w:p>
          <w:p w:rsidR="0076001D" w:rsidRDefault="0034129A">
            <w:pPr>
              <w:spacing w:after="45" w:line="259" w:lineRule="auto"/>
              <w:ind w:left="5" w:firstLine="0"/>
              <w:jc w:val="left"/>
            </w:pPr>
            <w:r>
              <w:rPr>
                <w:sz w:val="10"/>
              </w:rPr>
              <w:t xml:space="preserve"> </w:t>
            </w:r>
          </w:p>
          <w:p w:rsidR="0076001D" w:rsidRDefault="0034129A">
            <w:pPr>
              <w:spacing w:after="0" w:line="259" w:lineRule="auto"/>
              <w:ind w:left="26" w:firstLine="0"/>
              <w:jc w:val="left"/>
            </w:pPr>
            <w:r>
              <w:rPr>
                <w:rFonts w:ascii="Calibri" w:eastAsia="Calibri" w:hAnsi="Calibri" w:cs="Calibri"/>
                <w:sz w:val="10"/>
              </w:rPr>
              <w:t xml:space="preserve">FSBP ND07.1 </w:t>
            </w:r>
          </w:p>
        </w:tc>
        <w:tc>
          <w:tcPr>
            <w:tcW w:w="4592" w:type="dxa"/>
            <w:gridSpan w:val="2"/>
            <w:tcBorders>
              <w:top w:val="single" w:sz="4" w:space="0" w:color="A9D08E"/>
              <w:left w:val="nil"/>
              <w:bottom w:val="single" w:sz="4" w:space="0" w:color="A9D08E"/>
              <w:right w:val="nil"/>
            </w:tcBorders>
            <w:shd w:val="clear" w:color="auto" w:fill="E1EEDA"/>
          </w:tcPr>
          <w:p w:rsidR="0076001D" w:rsidRDefault="0034129A">
            <w:pPr>
              <w:tabs>
                <w:tab w:val="center" w:pos="3797"/>
              </w:tabs>
              <w:spacing w:after="0" w:line="259" w:lineRule="auto"/>
              <w:ind w:left="0" w:firstLine="0"/>
              <w:jc w:val="left"/>
            </w:pPr>
            <w:r>
              <w:rPr>
                <w:rFonts w:ascii="Calibri" w:eastAsia="Calibri" w:hAnsi="Calibri" w:cs="Calibri"/>
                <w:sz w:val="10"/>
              </w:rPr>
              <w:t xml:space="preserve">Detección de dispositivos: las interfaces que se clasifican como "LAN" o </w:t>
            </w:r>
            <w:r>
              <w:rPr>
                <w:rFonts w:ascii="Calibri" w:eastAsia="Calibri" w:hAnsi="Calibri" w:cs="Calibri"/>
                <w:sz w:val="10"/>
              </w:rPr>
              <w:tab/>
            </w:r>
            <w:r>
              <w:rPr>
                <w:sz w:val="10"/>
              </w:rPr>
              <w:t xml:space="preserve"> </w:t>
            </w:r>
          </w:p>
          <w:p w:rsidR="0076001D" w:rsidRDefault="0034129A">
            <w:pPr>
              <w:spacing w:after="0" w:line="259" w:lineRule="auto"/>
              <w:ind w:left="3797" w:firstLine="0"/>
              <w:jc w:val="left"/>
            </w:pPr>
            <w:r>
              <w:rPr>
                <w:sz w:val="10"/>
              </w:rPr>
              <w:t xml:space="preserve"> </w:t>
            </w:r>
          </w:p>
          <w:p w:rsidR="0076001D" w:rsidRDefault="0034129A">
            <w:pPr>
              <w:spacing w:after="9" w:line="259" w:lineRule="auto"/>
              <w:ind w:left="26" w:firstLine="0"/>
              <w:jc w:val="left"/>
            </w:pPr>
            <w:r>
              <w:rPr>
                <w:rFonts w:ascii="Calibri" w:eastAsia="Calibri" w:hAnsi="Calibri" w:cs="Calibri"/>
                <w:sz w:val="10"/>
              </w:rPr>
              <w:t xml:space="preserve">"DMZ" y son utilizadas por una política deben tener habilitada la detección </w:t>
            </w:r>
          </w:p>
          <w:p w:rsidR="0076001D" w:rsidRDefault="0034129A">
            <w:pPr>
              <w:tabs>
                <w:tab w:val="center" w:pos="3964"/>
              </w:tabs>
              <w:spacing w:after="0" w:line="259" w:lineRule="auto"/>
              <w:ind w:left="0" w:firstLine="0"/>
              <w:jc w:val="left"/>
            </w:pPr>
            <w:proofErr w:type="gramStart"/>
            <w:r>
              <w:rPr>
                <w:rFonts w:ascii="Calibri" w:eastAsia="Calibri" w:hAnsi="Calibri" w:cs="Calibri"/>
                <w:sz w:val="10"/>
              </w:rPr>
              <w:t>de</w:t>
            </w:r>
            <w:proofErr w:type="gramEnd"/>
            <w:r>
              <w:rPr>
                <w:rFonts w:ascii="Calibri" w:eastAsia="Calibri" w:hAnsi="Calibri" w:cs="Calibri"/>
                <w:sz w:val="10"/>
              </w:rPr>
              <w:t xml:space="preserve"> dispositivos. </w:t>
            </w:r>
            <w:r>
              <w:rPr>
                <w:rFonts w:ascii="Calibri" w:eastAsia="Calibri" w:hAnsi="Calibri" w:cs="Calibri"/>
                <w:sz w:val="10"/>
              </w:rPr>
              <w:tab/>
              <w:t xml:space="preserve">FW_1 </w:t>
            </w:r>
          </w:p>
        </w:tc>
        <w:tc>
          <w:tcPr>
            <w:tcW w:w="1207" w:type="dxa"/>
            <w:tcBorders>
              <w:top w:val="single" w:sz="4" w:space="0" w:color="A9D08E"/>
              <w:left w:val="nil"/>
              <w:bottom w:val="single" w:sz="4" w:space="0" w:color="A9D08E"/>
              <w:right w:val="single" w:sz="4" w:space="0" w:color="A9D08E"/>
            </w:tcBorders>
            <w:shd w:val="clear" w:color="auto" w:fill="E1EEDA"/>
          </w:tcPr>
          <w:p w:rsidR="0076001D" w:rsidRDefault="0034129A">
            <w:pPr>
              <w:spacing w:after="0" w:line="259" w:lineRule="auto"/>
              <w:ind w:left="0" w:firstLine="0"/>
              <w:jc w:val="left"/>
            </w:pPr>
            <w:r>
              <w:rPr>
                <w:sz w:val="10"/>
              </w:rPr>
              <w:t xml:space="preserve"> </w:t>
            </w:r>
          </w:p>
          <w:p w:rsidR="0076001D" w:rsidRDefault="0034129A">
            <w:pPr>
              <w:spacing w:after="45" w:line="259" w:lineRule="auto"/>
              <w:ind w:left="0" w:firstLine="0"/>
              <w:jc w:val="left"/>
            </w:pPr>
            <w:r>
              <w:rPr>
                <w:sz w:val="10"/>
              </w:rPr>
              <w:t xml:space="preserve"> </w:t>
            </w:r>
          </w:p>
          <w:p w:rsidR="0076001D" w:rsidRDefault="0034129A">
            <w:pPr>
              <w:spacing w:after="0" w:line="259" w:lineRule="auto"/>
              <w:ind w:left="29" w:firstLine="0"/>
              <w:jc w:val="left"/>
            </w:pPr>
            <w:r>
              <w:rPr>
                <w:rFonts w:ascii="Calibri" w:eastAsia="Calibri" w:hAnsi="Calibri" w:cs="Calibri"/>
                <w:sz w:val="10"/>
              </w:rPr>
              <w:t xml:space="preserve">fallido </w:t>
            </w:r>
          </w:p>
        </w:tc>
      </w:tr>
      <w:tr w:rsidR="0076001D">
        <w:trPr>
          <w:trHeight w:val="434"/>
        </w:trPr>
        <w:tc>
          <w:tcPr>
            <w:tcW w:w="869" w:type="dxa"/>
            <w:tcBorders>
              <w:top w:val="single" w:sz="4" w:space="0" w:color="A9D08E"/>
              <w:left w:val="single" w:sz="4" w:space="0" w:color="A9D08E"/>
              <w:bottom w:val="single" w:sz="4" w:space="0" w:color="A9D08E"/>
              <w:right w:val="single" w:sz="4" w:space="0" w:color="D3D3D3"/>
            </w:tcBorders>
          </w:tcPr>
          <w:p w:rsidR="0076001D" w:rsidRDefault="0034129A">
            <w:pPr>
              <w:spacing w:after="0" w:line="259" w:lineRule="auto"/>
              <w:ind w:left="5" w:firstLine="0"/>
              <w:jc w:val="left"/>
            </w:pPr>
            <w:r>
              <w:rPr>
                <w:sz w:val="10"/>
              </w:rPr>
              <w:lastRenderedPageBreak/>
              <w:t xml:space="preserve"> </w:t>
            </w:r>
          </w:p>
          <w:p w:rsidR="0076001D" w:rsidRDefault="0034129A">
            <w:pPr>
              <w:spacing w:after="45" w:line="259" w:lineRule="auto"/>
              <w:ind w:left="5" w:firstLine="0"/>
              <w:jc w:val="left"/>
            </w:pPr>
            <w:r>
              <w:rPr>
                <w:sz w:val="10"/>
              </w:rPr>
              <w:t xml:space="preserve"> </w:t>
            </w:r>
          </w:p>
          <w:p w:rsidR="0076001D" w:rsidRDefault="0034129A">
            <w:pPr>
              <w:spacing w:after="0" w:line="259" w:lineRule="auto"/>
              <w:ind w:left="26" w:firstLine="0"/>
              <w:jc w:val="left"/>
            </w:pPr>
            <w:r>
              <w:rPr>
                <w:rFonts w:ascii="Calibri" w:eastAsia="Calibri" w:hAnsi="Calibri" w:cs="Calibri"/>
                <w:sz w:val="10"/>
              </w:rPr>
              <w:t xml:space="preserve">FSBP ND09.1 </w:t>
            </w:r>
          </w:p>
        </w:tc>
        <w:tc>
          <w:tcPr>
            <w:tcW w:w="3797"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26" w:firstLine="0"/>
              <w:jc w:val="left"/>
            </w:pPr>
            <w:r>
              <w:rPr>
                <w:rFonts w:ascii="Calibri" w:eastAsia="Calibri" w:hAnsi="Calibri" w:cs="Calibri"/>
                <w:sz w:val="10"/>
              </w:rPr>
              <w:t xml:space="preserve">Detectar conexiones de </w:t>
            </w:r>
            <w:proofErr w:type="spellStart"/>
            <w:r>
              <w:rPr>
                <w:rFonts w:ascii="Calibri" w:eastAsia="Calibri" w:hAnsi="Calibri" w:cs="Calibri"/>
                <w:sz w:val="10"/>
              </w:rPr>
              <w:t>botnet</w:t>
            </w:r>
            <w:proofErr w:type="spellEnd"/>
            <w:r>
              <w:rPr>
                <w:rFonts w:ascii="Calibri" w:eastAsia="Calibri" w:hAnsi="Calibri" w:cs="Calibri"/>
                <w:sz w:val="10"/>
              </w:rPr>
              <w:t xml:space="preserve">: las interfaces que están clasificadas como "WAN" y son utilizadas por una política deben usar un sensor IPS que bloquee o supervise las conexiones salientes a los sitios de </w:t>
            </w:r>
            <w:proofErr w:type="spellStart"/>
            <w:r>
              <w:rPr>
                <w:rFonts w:ascii="Calibri" w:eastAsia="Calibri" w:hAnsi="Calibri" w:cs="Calibri"/>
                <w:sz w:val="10"/>
              </w:rPr>
              <w:t>botnet</w:t>
            </w:r>
            <w:proofErr w:type="spellEnd"/>
            <w:r>
              <w:rPr>
                <w:rFonts w:ascii="Calibri" w:eastAsia="Calibri" w:hAnsi="Calibri" w:cs="Calibri"/>
                <w:sz w:val="10"/>
              </w:rPr>
              <w:t xml:space="preserve">. </w:t>
            </w:r>
          </w:p>
        </w:tc>
        <w:tc>
          <w:tcPr>
            <w:tcW w:w="794" w:type="dxa"/>
            <w:tcBorders>
              <w:top w:val="single" w:sz="4" w:space="0" w:color="A9D08E"/>
              <w:left w:val="single" w:sz="4" w:space="0" w:color="D3D3D3"/>
              <w:bottom w:val="single" w:sz="4" w:space="0" w:color="A9D08E"/>
              <w:right w:val="single" w:sz="4" w:space="0" w:color="D3D3D3"/>
            </w:tcBorders>
          </w:tcPr>
          <w:p w:rsidR="0076001D" w:rsidRDefault="0034129A">
            <w:pPr>
              <w:spacing w:after="0" w:line="259" w:lineRule="auto"/>
              <w:ind w:left="5" w:firstLine="0"/>
              <w:jc w:val="left"/>
            </w:pPr>
            <w:r>
              <w:rPr>
                <w:sz w:val="10"/>
              </w:rPr>
              <w:t xml:space="preserve"> </w:t>
            </w:r>
          </w:p>
          <w:p w:rsidR="0076001D" w:rsidRDefault="0034129A">
            <w:pPr>
              <w:spacing w:after="45" w:line="259" w:lineRule="auto"/>
              <w:ind w:left="5" w:firstLine="0"/>
              <w:jc w:val="left"/>
            </w:pPr>
            <w:r>
              <w:rPr>
                <w:sz w:val="10"/>
              </w:rPr>
              <w:t xml:space="preserve"> </w:t>
            </w:r>
          </w:p>
          <w:p w:rsidR="0076001D" w:rsidRDefault="0034129A">
            <w:pPr>
              <w:spacing w:after="0" w:line="259" w:lineRule="auto"/>
              <w:ind w:left="26" w:firstLine="0"/>
              <w:jc w:val="left"/>
            </w:pPr>
            <w:r>
              <w:rPr>
                <w:rFonts w:ascii="Calibri" w:eastAsia="Calibri" w:hAnsi="Calibri" w:cs="Calibri"/>
                <w:sz w:val="10"/>
              </w:rPr>
              <w:t xml:space="preserve">FW_1 </w:t>
            </w:r>
          </w:p>
        </w:tc>
        <w:tc>
          <w:tcPr>
            <w:tcW w:w="1207" w:type="dxa"/>
            <w:tcBorders>
              <w:top w:val="single" w:sz="4" w:space="0" w:color="A9D08E"/>
              <w:left w:val="single" w:sz="4" w:space="0" w:color="D3D3D3"/>
              <w:bottom w:val="single" w:sz="4" w:space="0" w:color="A9D08E"/>
              <w:right w:val="single" w:sz="4" w:space="0" w:color="A9D08E"/>
            </w:tcBorders>
          </w:tcPr>
          <w:p w:rsidR="0076001D" w:rsidRDefault="0034129A">
            <w:pPr>
              <w:spacing w:after="0" w:line="259" w:lineRule="auto"/>
              <w:ind w:left="7" w:firstLine="0"/>
              <w:jc w:val="left"/>
            </w:pPr>
            <w:r>
              <w:rPr>
                <w:sz w:val="10"/>
              </w:rPr>
              <w:t xml:space="preserve"> </w:t>
            </w:r>
          </w:p>
          <w:p w:rsidR="0076001D" w:rsidRDefault="0034129A">
            <w:pPr>
              <w:spacing w:after="45" w:line="259" w:lineRule="auto"/>
              <w:ind w:left="7" w:firstLine="0"/>
              <w:jc w:val="left"/>
            </w:pPr>
            <w:r>
              <w:rPr>
                <w:sz w:val="10"/>
              </w:rPr>
              <w:t xml:space="preserve"> </w:t>
            </w:r>
          </w:p>
          <w:p w:rsidR="0076001D" w:rsidRDefault="0034129A">
            <w:pPr>
              <w:spacing w:after="0" w:line="259" w:lineRule="auto"/>
              <w:ind w:left="31" w:firstLine="0"/>
              <w:jc w:val="left"/>
            </w:pPr>
            <w:r>
              <w:rPr>
                <w:rFonts w:ascii="Calibri" w:eastAsia="Calibri" w:hAnsi="Calibri" w:cs="Calibri"/>
                <w:sz w:val="10"/>
              </w:rPr>
              <w:t xml:space="preserve">fallido </w:t>
            </w:r>
          </w:p>
        </w:tc>
      </w:tr>
      <w:tr w:rsidR="0076001D">
        <w:trPr>
          <w:trHeight w:val="428"/>
        </w:trPr>
        <w:tc>
          <w:tcPr>
            <w:tcW w:w="869" w:type="dxa"/>
            <w:tcBorders>
              <w:top w:val="single" w:sz="4" w:space="0" w:color="A9D08E"/>
              <w:left w:val="single" w:sz="4" w:space="0" w:color="A9D08E"/>
              <w:bottom w:val="single" w:sz="4" w:space="0" w:color="A9D08E"/>
              <w:right w:val="nil"/>
            </w:tcBorders>
            <w:shd w:val="clear" w:color="auto" w:fill="E1EEDA"/>
          </w:tcPr>
          <w:p w:rsidR="0076001D" w:rsidRDefault="0034129A">
            <w:pPr>
              <w:spacing w:after="0" w:line="259" w:lineRule="auto"/>
              <w:ind w:left="5" w:firstLine="0"/>
              <w:jc w:val="left"/>
            </w:pPr>
            <w:r>
              <w:rPr>
                <w:sz w:val="10"/>
              </w:rPr>
              <w:t xml:space="preserve"> </w:t>
            </w:r>
          </w:p>
          <w:p w:rsidR="0076001D" w:rsidRDefault="0034129A">
            <w:pPr>
              <w:spacing w:after="45" w:line="259" w:lineRule="auto"/>
              <w:ind w:left="5" w:firstLine="0"/>
              <w:jc w:val="left"/>
            </w:pPr>
            <w:r>
              <w:rPr>
                <w:sz w:val="10"/>
              </w:rPr>
              <w:t xml:space="preserve"> </w:t>
            </w:r>
          </w:p>
          <w:p w:rsidR="0076001D" w:rsidRDefault="0034129A">
            <w:pPr>
              <w:spacing w:after="0" w:line="259" w:lineRule="auto"/>
              <w:ind w:left="26" w:firstLine="0"/>
              <w:jc w:val="left"/>
            </w:pPr>
            <w:r>
              <w:rPr>
                <w:rFonts w:ascii="Calibri" w:eastAsia="Calibri" w:hAnsi="Calibri" w:cs="Calibri"/>
                <w:sz w:val="10"/>
              </w:rPr>
              <w:t xml:space="preserve">FSBP TV01.1 </w:t>
            </w:r>
          </w:p>
        </w:tc>
        <w:tc>
          <w:tcPr>
            <w:tcW w:w="4592" w:type="dxa"/>
            <w:gridSpan w:val="2"/>
            <w:tcBorders>
              <w:top w:val="single" w:sz="4" w:space="0" w:color="A9D08E"/>
              <w:left w:val="nil"/>
              <w:bottom w:val="single" w:sz="6" w:space="0" w:color="D3D3D3"/>
              <w:right w:val="nil"/>
            </w:tcBorders>
            <w:shd w:val="clear" w:color="auto" w:fill="E1EEDA"/>
          </w:tcPr>
          <w:p w:rsidR="0076001D" w:rsidRDefault="0034129A">
            <w:pPr>
              <w:spacing w:after="0" w:line="259" w:lineRule="auto"/>
              <w:ind w:left="0" w:firstLine="0"/>
              <w:jc w:val="left"/>
            </w:pPr>
            <w:r>
              <w:rPr>
                <w:sz w:val="13"/>
              </w:rPr>
              <w:t xml:space="preserve"> </w:t>
            </w:r>
          </w:p>
          <w:p w:rsidR="0076001D" w:rsidRDefault="0034129A">
            <w:pPr>
              <w:spacing w:after="0" w:line="259" w:lineRule="auto"/>
              <w:ind w:left="26" w:right="550" w:firstLine="0"/>
            </w:pPr>
            <w:r>
              <w:rPr>
                <w:rFonts w:ascii="Calibri" w:eastAsia="Calibri" w:hAnsi="Calibri" w:cs="Calibri"/>
                <w:sz w:val="10"/>
              </w:rPr>
              <w:t xml:space="preserve">Protección avanzada contra amenazas: los archivos sospechosos deben enviarse a </w:t>
            </w:r>
            <w:proofErr w:type="spellStart"/>
            <w:r>
              <w:rPr>
                <w:rFonts w:ascii="Calibri" w:eastAsia="Calibri" w:hAnsi="Calibri" w:cs="Calibri"/>
                <w:sz w:val="10"/>
              </w:rPr>
              <w:t>FortiSandbox</w:t>
            </w:r>
            <w:proofErr w:type="spellEnd"/>
            <w:r>
              <w:rPr>
                <w:rFonts w:ascii="Calibri" w:eastAsia="Calibri" w:hAnsi="Calibri" w:cs="Calibri"/>
                <w:sz w:val="10"/>
              </w:rPr>
              <w:t xml:space="preserve"> </w:t>
            </w:r>
            <w:proofErr w:type="spellStart"/>
            <w:r>
              <w:rPr>
                <w:rFonts w:ascii="Calibri" w:eastAsia="Calibri" w:hAnsi="Calibri" w:cs="Calibri"/>
                <w:sz w:val="10"/>
              </w:rPr>
              <w:t>Appliance</w:t>
            </w:r>
            <w:proofErr w:type="spellEnd"/>
            <w:r>
              <w:rPr>
                <w:rFonts w:ascii="Calibri" w:eastAsia="Calibri" w:hAnsi="Calibri" w:cs="Calibri"/>
                <w:sz w:val="10"/>
              </w:rPr>
              <w:t xml:space="preserve"> / </w:t>
            </w:r>
            <w:proofErr w:type="spellStart"/>
            <w:r>
              <w:rPr>
                <w:rFonts w:ascii="Calibri" w:eastAsia="Calibri" w:hAnsi="Calibri" w:cs="Calibri"/>
                <w:sz w:val="10"/>
              </w:rPr>
              <w:t>FortiSandbox</w:t>
            </w:r>
            <w:proofErr w:type="spellEnd"/>
            <w:r>
              <w:rPr>
                <w:rFonts w:ascii="Calibri" w:eastAsia="Calibri" w:hAnsi="Calibri" w:cs="Calibri"/>
                <w:sz w:val="10"/>
              </w:rPr>
              <w:t xml:space="preserve"> Cloud para su inspección. FW_1 </w:t>
            </w:r>
          </w:p>
        </w:tc>
        <w:tc>
          <w:tcPr>
            <w:tcW w:w="1207" w:type="dxa"/>
            <w:tcBorders>
              <w:top w:val="single" w:sz="4" w:space="0" w:color="A9D08E"/>
              <w:left w:val="nil"/>
              <w:bottom w:val="single" w:sz="4" w:space="0" w:color="A9D08E"/>
              <w:right w:val="single" w:sz="4" w:space="0" w:color="A9D08E"/>
            </w:tcBorders>
            <w:shd w:val="clear" w:color="auto" w:fill="E1EEDA"/>
          </w:tcPr>
          <w:p w:rsidR="0076001D" w:rsidRDefault="0034129A">
            <w:pPr>
              <w:spacing w:after="0" w:line="259" w:lineRule="auto"/>
              <w:ind w:left="0" w:firstLine="0"/>
              <w:jc w:val="left"/>
            </w:pPr>
            <w:r>
              <w:rPr>
                <w:sz w:val="10"/>
              </w:rPr>
              <w:t xml:space="preserve"> </w:t>
            </w:r>
          </w:p>
          <w:p w:rsidR="0076001D" w:rsidRDefault="0034129A">
            <w:pPr>
              <w:spacing w:after="45" w:line="259" w:lineRule="auto"/>
              <w:ind w:left="0" w:firstLine="0"/>
              <w:jc w:val="left"/>
            </w:pPr>
            <w:r>
              <w:rPr>
                <w:sz w:val="10"/>
              </w:rPr>
              <w:t xml:space="preserve"> </w:t>
            </w:r>
          </w:p>
          <w:p w:rsidR="0076001D" w:rsidRDefault="0034129A">
            <w:pPr>
              <w:spacing w:after="0" w:line="259" w:lineRule="auto"/>
              <w:ind w:left="29" w:firstLine="0"/>
              <w:jc w:val="left"/>
            </w:pPr>
            <w:r>
              <w:rPr>
                <w:rFonts w:ascii="Calibri" w:eastAsia="Calibri" w:hAnsi="Calibri" w:cs="Calibri"/>
                <w:sz w:val="10"/>
              </w:rPr>
              <w:t xml:space="preserve">fallido </w:t>
            </w:r>
          </w:p>
        </w:tc>
      </w:tr>
    </w:tbl>
    <w:p w:rsidR="0076001D" w:rsidRDefault="0034129A">
      <w:pPr>
        <w:spacing w:after="0" w:line="259" w:lineRule="auto"/>
        <w:ind w:left="0" w:right="9220" w:firstLine="0"/>
        <w:jc w:val="left"/>
      </w:pPr>
      <w:r>
        <w:rPr>
          <w:sz w:val="20"/>
        </w:rPr>
        <w:t xml:space="preserve"> </w:t>
      </w:r>
    </w:p>
    <w:p w:rsidR="0076001D" w:rsidRDefault="0034129A">
      <w:pPr>
        <w:numPr>
          <w:ilvl w:val="0"/>
          <w:numId w:val="26"/>
        </w:numPr>
        <w:ind w:left="952" w:right="434" w:hanging="407"/>
      </w:pPr>
      <w:r>
        <w:t xml:space="preserve">Ya se encuentra documentado el manual de soporte de primer nivel y administración del firewall: </w:t>
      </w:r>
      <w:r>
        <w:rPr>
          <w:i/>
        </w:rPr>
        <w:t>MN-GT-12-02 Manual soporte 1 nivel Admón. Firewall V1</w:t>
      </w:r>
      <w:r>
        <w:t xml:space="preserve">, en el cual se detallan adecuadamente las principales configuraciones y funcionalidades del firewall, garantizando así la transferencia de conocimiento necesaria para el mantenimiento básico de su operación. </w:t>
      </w:r>
      <w:r>
        <w:rPr>
          <w:sz w:val="31"/>
        </w:rPr>
        <w:t xml:space="preserve"> </w:t>
      </w:r>
    </w:p>
    <w:p w:rsidR="0076001D" w:rsidRDefault="0034129A">
      <w:pPr>
        <w:spacing w:after="199" w:line="270" w:lineRule="auto"/>
        <w:ind w:left="896"/>
        <w:jc w:val="left"/>
      </w:pPr>
      <w:r>
        <w:rPr>
          <w:noProof/>
          <w:lang w:val="es-ES" w:eastAsia="es-ES"/>
        </w:rPr>
        <w:drawing>
          <wp:inline distT="0" distB="0" distL="0" distR="0">
            <wp:extent cx="228600" cy="137160"/>
            <wp:effectExtent l="0" t="0" r="0" b="0"/>
            <wp:docPr id="15926" name="Picture 15926"/>
            <wp:cNvGraphicFramePr/>
            <a:graphic xmlns:a="http://schemas.openxmlformats.org/drawingml/2006/main">
              <a:graphicData uri="http://schemas.openxmlformats.org/drawingml/2006/picture">
                <pic:pic xmlns:pic="http://schemas.openxmlformats.org/drawingml/2006/picture">
                  <pic:nvPicPr>
                    <pic:cNvPr id="15926" name="Picture 15926"/>
                    <pic:cNvPicPr/>
                  </pic:nvPicPr>
                  <pic:blipFill>
                    <a:blip r:embed="rId8"/>
                    <a:stretch>
                      <a:fillRect/>
                    </a:stretch>
                  </pic:blipFill>
                  <pic:spPr>
                    <a:xfrm>
                      <a:off x="0" y="0"/>
                      <a:ext cx="228600" cy="137160"/>
                    </a:xfrm>
                    <a:prstGeom prst="rect">
                      <a:avLst/>
                    </a:prstGeom>
                  </pic:spPr>
                </pic:pic>
              </a:graphicData>
            </a:graphic>
          </wp:inline>
        </w:drawing>
      </w:r>
      <w:r>
        <w:tab/>
        <w:t xml:space="preserve">Si bien en el documento </w:t>
      </w:r>
      <w:r>
        <w:rPr>
          <w:i/>
        </w:rPr>
        <w:t xml:space="preserve">MN-GT-12-07 MANUAL PARA LA ADMINISTRACIÓN DE LA RED LAN DEL IDEP Y POLÍTICAS DE SEGURIDAD, </w:t>
      </w:r>
      <w:r>
        <w:t>se hace referencia a la actividad de revisión semanal que los porcentajes del panel de control (</w:t>
      </w:r>
      <w:proofErr w:type="spellStart"/>
      <w:r>
        <w:t>DashBoard</w:t>
      </w:r>
      <w:proofErr w:type="spellEnd"/>
      <w:r>
        <w:t>) del firewall no sobrepase el 80</w:t>
      </w:r>
      <w:proofErr w:type="gramStart"/>
      <w:r>
        <w:t>% ,</w:t>
      </w:r>
      <w:proofErr w:type="gramEnd"/>
      <w:r>
        <w:t xml:space="preserve"> para los control de seguridad en el mismo debería ajustarse para  que no el 40%, además se debe incluir la referencia a un formato que permita evidenciar el desarrollo de esta actividad y sus respectivas acciones de remediación. </w:t>
      </w:r>
    </w:p>
    <w:p w:rsidR="0076001D" w:rsidRDefault="0034129A">
      <w:pPr>
        <w:numPr>
          <w:ilvl w:val="0"/>
          <w:numId w:val="26"/>
        </w:numPr>
        <w:spacing w:after="215"/>
        <w:ind w:left="952" w:right="434" w:hanging="407"/>
      </w:pPr>
      <w:r>
        <w:t xml:space="preserve">La estrategia para la implementación del trabajo remoto se basa en la configuración de </w:t>
      </w:r>
      <w:proofErr w:type="spellStart"/>
      <w:r>
        <w:t>PC’s</w:t>
      </w:r>
      <w:proofErr w:type="spellEnd"/>
      <w:r>
        <w:t xml:space="preserve"> (Redes privadas virtuales) en el firewall, para controlar el acceso remoto a los servicios de red de la entidad y para conexiones de escritorio remoto a los equipos de trabajo de los usuarios, previo análisis de las necesidades de cada uno. </w:t>
      </w:r>
    </w:p>
    <w:p w:rsidR="0076001D" w:rsidRDefault="0034129A">
      <w:pPr>
        <w:ind w:left="914" w:right="434"/>
      </w:pPr>
      <w:r>
        <w:rPr>
          <w:noProof/>
          <w:lang w:val="es-ES" w:eastAsia="es-ES"/>
        </w:rPr>
        <w:drawing>
          <wp:inline distT="0" distB="0" distL="0" distR="0">
            <wp:extent cx="200660" cy="202171"/>
            <wp:effectExtent l="0" t="0" r="0" b="0"/>
            <wp:docPr id="16054" name="Picture 16054"/>
            <wp:cNvGraphicFramePr/>
            <a:graphic xmlns:a="http://schemas.openxmlformats.org/drawingml/2006/main">
              <a:graphicData uri="http://schemas.openxmlformats.org/drawingml/2006/picture">
                <pic:pic xmlns:pic="http://schemas.openxmlformats.org/drawingml/2006/picture">
                  <pic:nvPicPr>
                    <pic:cNvPr id="16054" name="Picture 16054"/>
                    <pic:cNvPicPr/>
                  </pic:nvPicPr>
                  <pic:blipFill>
                    <a:blip r:embed="rId60"/>
                    <a:stretch>
                      <a:fillRect/>
                    </a:stretch>
                  </pic:blipFill>
                  <pic:spPr>
                    <a:xfrm>
                      <a:off x="0" y="0"/>
                      <a:ext cx="200660" cy="202171"/>
                    </a:xfrm>
                    <a:prstGeom prst="rect">
                      <a:avLst/>
                    </a:prstGeom>
                  </pic:spPr>
                </pic:pic>
              </a:graphicData>
            </a:graphic>
          </wp:inline>
        </w:drawing>
      </w:r>
      <w:r>
        <w:rPr>
          <w:rFonts w:ascii="Times New Roman" w:eastAsia="Times New Roman" w:hAnsi="Times New Roman" w:cs="Times New Roman"/>
          <w:sz w:val="20"/>
        </w:rPr>
        <w:t xml:space="preserve"> </w:t>
      </w:r>
      <w:r>
        <w:t>Si bien la configuración implementada para las conexiones a través de la red privada virtual protege a la entidad de posibles ataques, intercepciones y captura de información por parte de terceros a la conexión remota, la versión del cliente de conexión de la VPN: “</w:t>
      </w:r>
      <w:proofErr w:type="spellStart"/>
      <w:r>
        <w:t>FortiClient</w:t>
      </w:r>
      <w:proofErr w:type="spellEnd"/>
      <w:r>
        <w:t xml:space="preserve">”, no asegura que los equipos de cómputo desde los que se conectan los usuarios sean equipos seguros, debido a que no se obliga en la ejecución del análisis de vulnerabilidades y su respectiva corrección para poder realizar la conexión VPN. Debido a esto, no hay restricciones para que, si un equipo que tiene un virus, malware y/o alguna vulnerabilidad conocida pueda conectarse y por ende aumentar la posibilidad de generar un ataque a través de la conexión VPN ‘segura’ otorgada al equipo y/o funcionario. Las siguientes imágenes muestran como desde un equipo del auditor con vulnerabilidades </w:t>
      </w:r>
      <w:proofErr w:type="gramStart"/>
      <w:r>
        <w:t>criticas</w:t>
      </w:r>
      <w:proofErr w:type="gramEnd"/>
      <w:r>
        <w:t xml:space="preserve"> reconocidas (Software de Hacking) por el cliente de VPN es posible la conectarse, esta es una de las alertas que informa el </w:t>
      </w:r>
      <w:proofErr w:type="spellStart"/>
      <w:r>
        <w:t>DashBoard</w:t>
      </w:r>
      <w:proofErr w:type="spellEnd"/>
      <w:r>
        <w:t xml:space="preserve"> del firewall: </w:t>
      </w:r>
    </w:p>
    <w:p w:rsidR="0076001D" w:rsidRDefault="0034129A">
      <w:pPr>
        <w:spacing w:after="3646" w:line="259" w:lineRule="auto"/>
        <w:ind w:left="0" w:firstLine="0"/>
        <w:jc w:val="left"/>
      </w:pPr>
      <w:r>
        <w:rPr>
          <w:sz w:val="14"/>
        </w:rPr>
        <w:t xml:space="preserve"> </w:t>
      </w:r>
    </w:p>
    <w:p w:rsidR="0076001D" w:rsidRDefault="0034129A">
      <w:pPr>
        <w:spacing w:after="98" w:line="259" w:lineRule="auto"/>
        <w:ind w:left="0" w:right="622" w:firstLine="0"/>
        <w:jc w:val="left"/>
      </w:pPr>
      <w:r>
        <w:rPr>
          <w:sz w:val="20"/>
        </w:rPr>
        <w:lastRenderedPageBreak/>
        <w:t xml:space="preserve"> </w:t>
      </w:r>
    </w:p>
    <w:p w:rsidR="0076001D" w:rsidRDefault="0034129A">
      <w:pPr>
        <w:spacing w:after="48" w:line="259" w:lineRule="auto"/>
        <w:ind w:left="10" w:right="467" w:hanging="10"/>
        <w:jc w:val="right"/>
      </w:pPr>
      <w:r>
        <w:rPr>
          <w:rFonts w:ascii="Calibri" w:eastAsia="Calibri" w:hAnsi="Calibri" w:cs="Calibri"/>
          <w:noProof/>
          <w:lang w:val="es-ES" w:eastAsia="es-ES"/>
        </w:rPr>
        <mc:AlternateContent>
          <mc:Choice Requires="wpg">
            <w:drawing>
              <wp:anchor distT="0" distB="0" distL="114300" distR="114300" simplePos="0" relativeHeight="251678720" behindDoc="0" locked="0" layoutInCell="1" allowOverlap="1">
                <wp:simplePos x="0" y="0"/>
                <wp:positionH relativeFrom="column">
                  <wp:posOffset>344043</wp:posOffset>
                </wp:positionH>
                <wp:positionV relativeFrom="paragraph">
                  <wp:posOffset>-2475976</wp:posOffset>
                </wp:positionV>
                <wp:extent cx="5680076" cy="2599055"/>
                <wp:effectExtent l="0" t="0" r="0" b="0"/>
                <wp:wrapSquare wrapText="bothSides"/>
                <wp:docPr id="170424" name="Group 170424"/>
                <wp:cNvGraphicFramePr/>
                <a:graphic xmlns:a="http://schemas.openxmlformats.org/drawingml/2006/main">
                  <a:graphicData uri="http://schemas.microsoft.com/office/word/2010/wordprocessingGroup">
                    <wpg:wgp>
                      <wpg:cNvGrpSpPr/>
                      <wpg:grpSpPr>
                        <a:xfrm>
                          <a:off x="0" y="0"/>
                          <a:ext cx="5680076" cy="2599055"/>
                          <a:chOff x="0" y="0"/>
                          <a:chExt cx="5680076" cy="2599055"/>
                        </a:xfrm>
                      </wpg:grpSpPr>
                      <pic:pic xmlns:pic="http://schemas.openxmlformats.org/drawingml/2006/picture">
                        <pic:nvPicPr>
                          <pic:cNvPr id="16056" name="Picture 16056"/>
                          <pic:cNvPicPr/>
                        </pic:nvPicPr>
                        <pic:blipFill>
                          <a:blip r:embed="rId162"/>
                          <a:stretch>
                            <a:fillRect/>
                          </a:stretch>
                        </pic:blipFill>
                        <pic:spPr>
                          <a:xfrm>
                            <a:off x="635" y="0"/>
                            <a:ext cx="2852420" cy="2262505"/>
                          </a:xfrm>
                          <a:prstGeom prst="rect">
                            <a:avLst/>
                          </a:prstGeom>
                        </pic:spPr>
                      </pic:pic>
                      <pic:pic xmlns:pic="http://schemas.openxmlformats.org/drawingml/2006/picture">
                        <pic:nvPicPr>
                          <pic:cNvPr id="16058" name="Picture 16058"/>
                          <pic:cNvPicPr/>
                        </pic:nvPicPr>
                        <pic:blipFill>
                          <a:blip r:embed="rId163"/>
                          <a:stretch>
                            <a:fillRect/>
                          </a:stretch>
                        </pic:blipFill>
                        <pic:spPr>
                          <a:xfrm>
                            <a:off x="2853055" y="177165"/>
                            <a:ext cx="2827021" cy="2085340"/>
                          </a:xfrm>
                          <a:prstGeom prst="rect">
                            <a:avLst/>
                          </a:prstGeom>
                        </pic:spPr>
                      </pic:pic>
                      <pic:pic xmlns:pic="http://schemas.openxmlformats.org/drawingml/2006/picture">
                        <pic:nvPicPr>
                          <pic:cNvPr id="16060" name="Picture 16060"/>
                          <pic:cNvPicPr/>
                        </pic:nvPicPr>
                        <pic:blipFill>
                          <a:blip r:embed="rId60"/>
                          <a:stretch>
                            <a:fillRect/>
                          </a:stretch>
                        </pic:blipFill>
                        <pic:spPr>
                          <a:xfrm>
                            <a:off x="0" y="2397125"/>
                            <a:ext cx="200419" cy="201930"/>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170424" style="width:447.25pt;height:204.65pt;position:absolute;mso-position-horizontal-relative:text;mso-position-horizontal:absolute;margin-left:27.09pt;mso-position-vertical-relative:text;margin-top:-194.959pt;" coordsize="56800,25990">
                <v:shape id="Picture 16056" style="position:absolute;width:28524;height:22625;left:6;top:0;" filled="f">
                  <v:imagedata r:id="rId164"/>
                </v:shape>
                <v:shape id="Picture 16058" style="position:absolute;width:28270;height:20853;left:28530;top:1771;" filled="f">
                  <v:imagedata r:id="rId165"/>
                </v:shape>
                <v:shape id="Picture 16060" style="position:absolute;width:2004;height:2019;left:0;top:23971;" filled="f">
                  <v:imagedata r:id="rId117"/>
                </v:shape>
                <w10:wrap type="square"/>
              </v:group>
            </w:pict>
          </mc:Fallback>
        </mc:AlternateContent>
      </w:r>
      <w:r>
        <w:t xml:space="preserve">En el documento MN-GT-12-07 MANUAL PARA LA ADMINISTRACIÓN DE LA RED LAN </w:t>
      </w:r>
    </w:p>
    <w:p w:rsidR="0076001D" w:rsidRDefault="0034129A">
      <w:pPr>
        <w:spacing w:after="34"/>
        <w:ind w:left="900" w:right="433" w:firstLine="0"/>
      </w:pPr>
      <w:r>
        <w:t xml:space="preserve">DEL IDEP Y POLÍTICAS DE SEGURIDAD, numeral 6.11.7 se define: “El horario de acceso a VPN será de lunes a viernes de 6:00 am a 6:00 pm, si requieren ingreso en horario diferente deberá dejarlo registrado en la solicitud inicial por mesa de ayuda.”, pero en el firewall no se tiene definidas estas restricciones de horario, como se puede ver en </w:t>
      </w:r>
    </w:p>
    <w:p w:rsidR="0076001D" w:rsidRDefault="0034129A">
      <w:pPr>
        <w:spacing w:after="156" w:line="259" w:lineRule="auto"/>
        <w:ind w:left="0" w:firstLine="0"/>
        <w:jc w:val="left"/>
      </w:pPr>
      <w:r>
        <w:rPr>
          <w:sz w:val="14"/>
        </w:rPr>
        <w:t xml:space="preserve"> </w:t>
      </w:r>
    </w:p>
    <w:p w:rsidR="0076001D" w:rsidRDefault="0034129A">
      <w:pPr>
        <w:ind w:left="900" w:right="361" w:firstLine="0"/>
      </w:pPr>
      <w:proofErr w:type="gramStart"/>
      <w:r>
        <w:t>la</w:t>
      </w:r>
      <w:proofErr w:type="gramEnd"/>
      <w:r>
        <w:t xml:space="preserve"> siguiente imagen, en la cual se muestra que el horario: </w:t>
      </w:r>
      <w:proofErr w:type="spellStart"/>
      <w:r>
        <w:rPr>
          <w:i/>
        </w:rPr>
        <w:t>allways</w:t>
      </w:r>
      <w:proofErr w:type="spellEnd"/>
      <w:r>
        <w:rPr>
          <w:i/>
        </w:rPr>
        <w:t xml:space="preserve"> </w:t>
      </w:r>
      <w:r>
        <w:t xml:space="preserve">está sin límite de días, ni de horas: </w:t>
      </w:r>
    </w:p>
    <w:p w:rsidR="0076001D" w:rsidRDefault="0034129A">
      <w:pPr>
        <w:spacing w:after="0" w:line="259" w:lineRule="auto"/>
        <w:ind w:left="0" w:firstLine="0"/>
        <w:jc w:val="left"/>
      </w:pPr>
      <w:r>
        <w:rPr>
          <w:sz w:val="13"/>
        </w:rPr>
        <w:t xml:space="preserve"> </w:t>
      </w:r>
    </w:p>
    <w:p w:rsidR="0076001D" w:rsidRDefault="0034129A">
      <w:pPr>
        <w:spacing w:after="15" w:line="259" w:lineRule="auto"/>
        <w:ind w:left="929" w:firstLine="0"/>
        <w:jc w:val="left"/>
      </w:pPr>
      <w:r>
        <w:rPr>
          <w:noProof/>
          <w:lang w:val="es-ES" w:eastAsia="es-ES"/>
        </w:rPr>
        <w:drawing>
          <wp:inline distT="0" distB="0" distL="0" distR="0">
            <wp:extent cx="5509895" cy="2207895"/>
            <wp:effectExtent l="0" t="0" r="0" b="0"/>
            <wp:docPr id="16121" name="Picture 16121"/>
            <wp:cNvGraphicFramePr/>
            <a:graphic xmlns:a="http://schemas.openxmlformats.org/drawingml/2006/main">
              <a:graphicData uri="http://schemas.openxmlformats.org/drawingml/2006/picture">
                <pic:pic xmlns:pic="http://schemas.openxmlformats.org/drawingml/2006/picture">
                  <pic:nvPicPr>
                    <pic:cNvPr id="16121" name="Picture 16121"/>
                    <pic:cNvPicPr/>
                  </pic:nvPicPr>
                  <pic:blipFill>
                    <a:blip r:embed="rId166"/>
                    <a:stretch>
                      <a:fillRect/>
                    </a:stretch>
                  </pic:blipFill>
                  <pic:spPr>
                    <a:xfrm>
                      <a:off x="0" y="0"/>
                      <a:ext cx="5509895" cy="2207895"/>
                    </a:xfrm>
                    <a:prstGeom prst="rect">
                      <a:avLst/>
                    </a:prstGeom>
                  </pic:spPr>
                </pic:pic>
              </a:graphicData>
            </a:graphic>
          </wp:inline>
        </w:drawing>
      </w:r>
    </w:p>
    <w:p w:rsidR="0076001D" w:rsidRDefault="0034129A">
      <w:pPr>
        <w:spacing w:after="12" w:line="259" w:lineRule="auto"/>
        <w:ind w:left="0" w:firstLine="0"/>
        <w:jc w:val="left"/>
      </w:pPr>
      <w:r>
        <w:rPr>
          <w:sz w:val="19"/>
        </w:rPr>
        <w:t xml:space="preserve"> </w:t>
      </w:r>
    </w:p>
    <w:p w:rsidR="0076001D" w:rsidRDefault="0034129A">
      <w:pPr>
        <w:ind w:left="900" w:firstLine="0"/>
      </w:pPr>
      <w:r>
        <w:t xml:space="preserve">Y es el que aplica a todas las </w:t>
      </w:r>
      <w:proofErr w:type="spellStart"/>
      <w:r>
        <w:t>politicas</w:t>
      </w:r>
      <w:proofErr w:type="spellEnd"/>
      <w:r>
        <w:t xml:space="preserve"> y conexiones: </w:t>
      </w:r>
    </w:p>
    <w:p w:rsidR="0076001D" w:rsidRDefault="0034129A">
      <w:pPr>
        <w:spacing w:after="0" w:line="259" w:lineRule="auto"/>
        <w:ind w:left="0" w:firstLine="0"/>
        <w:jc w:val="left"/>
      </w:pPr>
      <w:r>
        <w:rPr>
          <w:sz w:val="16"/>
        </w:rPr>
        <w:t xml:space="preserve"> </w:t>
      </w:r>
    </w:p>
    <w:p w:rsidR="0076001D" w:rsidRDefault="0034129A">
      <w:pPr>
        <w:spacing w:after="10" w:line="259" w:lineRule="auto"/>
        <w:ind w:left="902" w:firstLine="0"/>
        <w:jc w:val="left"/>
      </w:pPr>
      <w:r>
        <w:rPr>
          <w:noProof/>
          <w:lang w:val="es-ES" w:eastAsia="es-ES"/>
        </w:rPr>
        <w:lastRenderedPageBreak/>
        <w:drawing>
          <wp:inline distT="0" distB="0" distL="0" distR="0">
            <wp:extent cx="5747132" cy="2675255"/>
            <wp:effectExtent l="0" t="0" r="0" b="0"/>
            <wp:docPr id="16123" name="Picture 16123"/>
            <wp:cNvGraphicFramePr/>
            <a:graphic xmlns:a="http://schemas.openxmlformats.org/drawingml/2006/main">
              <a:graphicData uri="http://schemas.openxmlformats.org/drawingml/2006/picture">
                <pic:pic xmlns:pic="http://schemas.openxmlformats.org/drawingml/2006/picture">
                  <pic:nvPicPr>
                    <pic:cNvPr id="16123" name="Picture 16123"/>
                    <pic:cNvPicPr/>
                  </pic:nvPicPr>
                  <pic:blipFill>
                    <a:blip r:embed="rId167"/>
                    <a:stretch>
                      <a:fillRect/>
                    </a:stretch>
                  </pic:blipFill>
                  <pic:spPr>
                    <a:xfrm>
                      <a:off x="0" y="0"/>
                      <a:ext cx="5747132" cy="2675255"/>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ind w:left="914" w:right="433"/>
      </w:pPr>
      <w:r>
        <w:rPr>
          <w:noProof/>
          <w:lang w:val="es-ES" w:eastAsia="es-ES"/>
        </w:rPr>
        <w:drawing>
          <wp:inline distT="0" distB="0" distL="0" distR="0">
            <wp:extent cx="200419" cy="201930"/>
            <wp:effectExtent l="0" t="0" r="0" b="0"/>
            <wp:docPr id="16119" name="Picture 16119"/>
            <wp:cNvGraphicFramePr/>
            <a:graphic xmlns:a="http://schemas.openxmlformats.org/drawingml/2006/main">
              <a:graphicData uri="http://schemas.openxmlformats.org/drawingml/2006/picture">
                <pic:pic xmlns:pic="http://schemas.openxmlformats.org/drawingml/2006/picture">
                  <pic:nvPicPr>
                    <pic:cNvPr id="16119" name="Picture 16119"/>
                    <pic:cNvPicPr/>
                  </pic:nvPicPr>
                  <pic:blipFill>
                    <a:blip r:embed="rId60"/>
                    <a:stretch>
                      <a:fillRect/>
                    </a:stretch>
                  </pic:blipFill>
                  <pic:spPr>
                    <a:xfrm>
                      <a:off x="0" y="0"/>
                      <a:ext cx="200419" cy="201930"/>
                    </a:xfrm>
                    <a:prstGeom prst="rect">
                      <a:avLst/>
                    </a:prstGeom>
                  </pic:spPr>
                </pic:pic>
              </a:graphicData>
            </a:graphic>
          </wp:inline>
        </w:drawing>
      </w:r>
      <w:r>
        <w:rPr>
          <w:rFonts w:ascii="Times New Roman" w:eastAsia="Times New Roman" w:hAnsi="Times New Roman" w:cs="Times New Roman"/>
          <w:sz w:val="20"/>
        </w:rPr>
        <w:t xml:space="preserve">  </w:t>
      </w:r>
      <w:r>
        <w:t xml:space="preserve">Como medida de seguridad se debe incluir en el manual de administración de la red LAN, la revisión del mapa de localización de las conexiones VPN para identificar posibles accesos no autorizados, en la revisión realizada por el auditor se encontró un acceso por la VPN administrativa desde Barranquilla, lo cual en medio de la contingencia por COVID19 no es normal y por ende debe ser revisada y validada: </w:t>
      </w:r>
    </w:p>
    <w:p w:rsidR="0076001D" w:rsidRDefault="0034129A">
      <w:pPr>
        <w:spacing w:after="0" w:line="259" w:lineRule="auto"/>
        <w:ind w:left="0" w:right="1293" w:firstLine="0"/>
        <w:jc w:val="left"/>
      </w:pPr>
      <w:r>
        <w:t xml:space="preserve"> </w:t>
      </w:r>
    </w:p>
    <w:p w:rsidR="0076001D" w:rsidRDefault="0034129A">
      <w:pPr>
        <w:spacing w:after="0" w:line="259" w:lineRule="auto"/>
        <w:ind w:left="0" w:right="1236" w:firstLine="0"/>
        <w:jc w:val="right"/>
      </w:pPr>
      <w:r>
        <w:rPr>
          <w:noProof/>
          <w:lang w:val="es-ES" w:eastAsia="es-ES"/>
        </w:rPr>
        <w:drawing>
          <wp:inline distT="0" distB="0" distL="0" distR="0">
            <wp:extent cx="4482085" cy="2392045"/>
            <wp:effectExtent l="0" t="0" r="0" b="0"/>
            <wp:docPr id="16208" name="Picture 16208"/>
            <wp:cNvGraphicFramePr/>
            <a:graphic xmlns:a="http://schemas.openxmlformats.org/drawingml/2006/main">
              <a:graphicData uri="http://schemas.openxmlformats.org/drawingml/2006/picture">
                <pic:pic xmlns:pic="http://schemas.openxmlformats.org/drawingml/2006/picture">
                  <pic:nvPicPr>
                    <pic:cNvPr id="16208" name="Picture 16208"/>
                    <pic:cNvPicPr/>
                  </pic:nvPicPr>
                  <pic:blipFill>
                    <a:blip r:embed="rId168"/>
                    <a:stretch>
                      <a:fillRect/>
                    </a:stretch>
                  </pic:blipFill>
                  <pic:spPr>
                    <a:xfrm>
                      <a:off x="0" y="0"/>
                      <a:ext cx="4482085" cy="2392045"/>
                    </a:xfrm>
                    <a:prstGeom prst="rect">
                      <a:avLst/>
                    </a:prstGeom>
                  </pic:spPr>
                </pic:pic>
              </a:graphicData>
            </a:graphic>
          </wp:inline>
        </w:drawing>
      </w: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1" w:line="259" w:lineRule="auto"/>
        <w:ind w:left="0" w:firstLine="0"/>
        <w:jc w:val="left"/>
      </w:pPr>
      <w:r>
        <w:rPr>
          <w:sz w:val="21"/>
        </w:rPr>
        <w:t xml:space="preserve"> </w:t>
      </w:r>
    </w:p>
    <w:p w:rsidR="0076001D" w:rsidRDefault="0034129A">
      <w:pPr>
        <w:numPr>
          <w:ilvl w:val="0"/>
          <w:numId w:val="27"/>
        </w:numPr>
        <w:spacing w:after="217"/>
        <w:ind w:left="914" w:right="437"/>
      </w:pPr>
      <w:r>
        <w:t xml:space="preserve">El servidor principal de dominio cuenta como sistema operativo el Windows Server 2016 sobre el cual se encuentra configurado el directorio activo y el DNS, se cuenta con un servidor de dominio secundario con replicación y soporte del directorio activo en el servidor principal, este esquema es adecuado como contingencia a problemas en cualquiera de los dos servidores. </w:t>
      </w:r>
    </w:p>
    <w:p w:rsidR="0076001D" w:rsidRDefault="0034129A">
      <w:pPr>
        <w:numPr>
          <w:ilvl w:val="0"/>
          <w:numId w:val="27"/>
        </w:numPr>
        <w:ind w:left="914" w:right="437"/>
      </w:pPr>
      <w:r>
        <w:lastRenderedPageBreak/>
        <w:t xml:space="preserve">La red inalámbrica WIFI de invitados se tiene correctamente aislada de la red local y está protegida por un firewall </w:t>
      </w:r>
      <w:proofErr w:type="spellStart"/>
      <w:r>
        <w:t>Checkpoint</w:t>
      </w:r>
      <w:proofErr w:type="spellEnd"/>
      <w:r>
        <w:t xml:space="preserve">, cabe anotar que debido a la contingencia de </w:t>
      </w:r>
      <w:proofErr w:type="spellStart"/>
      <w:r>
        <w:t>Covid</w:t>
      </w:r>
      <w:proofErr w:type="spellEnd"/>
      <w:r>
        <w:t xml:space="preserve">- 19 no fue posible realizar las pruebas necesarias para verificar esta configuración. </w:t>
      </w:r>
    </w:p>
    <w:p w:rsidR="0076001D" w:rsidRDefault="0034129A">
      <w:pPr>
        <w:spacing w:after="0" w:line="259" w:lineRule="auto"/>
        <w:ind w:left="0" w:firstLine="0"/>
        <w:jc w:val="left"/>
      </w:pPr>
      <w:r>
        <w:rPr>
          <w:sz w:val="20"/>
        </w:rPr>
        <w:t xml:space="preserve"> </w:t>
      </w:r>
    </w:p>
    <w:p w:rsidR="0076001D" w:rsidRDefault="0034129A">
      <w:pPr>
        <w:spacing w:after="9" w:line="259" w:lineRule="auto"/>
        <w:ind w:left="542" w:firstLine="0"/>
        <w:jc w:val="left"/>
      </w:pPr>
      <w:r>
        <w:rPr>
          <w:noProof/>
          <w:lang w:val="es-ES" w:eastAsia="es-ES"/>
        </w:rPr>
        <w:drawing>
          <wp:inline distT="0" distB="0" distL="0" distR="0">
            <wp:extent cx="228600" cy="137160"/>
            <wp:effectExtent l="0" t="0" r="0" b="0"/>
            <wp:docPr id="16214" name="Picture 16214"/>
            <wp:cNvGraphicFramePr/>
            <a:graphic xmlns:a="http://schemas.openxmlformats.org/drawingml/2006/main">
              <a:graphicData uri="http://schemas.openxmlformats.org/drawingml/2006/picture">
                <pic:pic xmlns:pic="http://schemas.openxmlformats.org/drawingml/2006/picture">
                  <pic:nvPicPr>
                    <pic:cNvPr id="16214" name="Picture 16214"/>
                    <pic:cNvPicPr/>
                  </pic:nvPicPr>
                  <pic:blipFill>
                    <a:blip r:embed="rId8"/>
                    <a:stretch>
                      <a:fillRect/>
                    </a:stretch>
                  </pic:blipFill>
                  <pic:spPr>
                    <a:xfrm>
                      <a:off x="0" y="0"/>
                      <a:ext cx="228600" cy="137160"/>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21" w:line="259" w:lineRule="auto"/>
        <w:ind w:left="0" w:firstLine="0"/>
        <w:jc w:val="left"/>
      </w:pPr>
      <w:r>
        <w:rPr>
          <w:sz w:val="20"/>
        </w:rPr>
        <w:t xml:space="preserve"> </w:t>
      </w:r>
    </w:p>
    <w:p w:rsidR="0076001D" w:rsidRDefault="0034129A">
      <w:pPr>
        <w:spacing w:after="0" w:line="259" w:lineRule="auto"/>
        <w:ind w:left="0" w:right="9231" w:firstLine="0"/>
        <w:jc w:val="left"/>
      </w:pPr>
      <w:r>
        <w:rPr>
          <w:sz w:val="24"/>
        </w:rPr>
        <w:t xml:space="preserve"> </w:t>
      </w:r>
    </w:p>
    <w:p w:rsidR="0076001D" w:rsidRDefault="0034129A">
      <w:pPr>
        <w:ind w:left="914" w:right="435"/>
      </w:pPr>
      <w:r>
        <w:rPr>
          <w:noProof/>
          <w:lang w:val="es-ES" w:eastAsia="es-ES"/>
        </w:rPr>
        <w:drawing>
          <wp:inline distT="0" distB="0" distL="0" distR="0">
            <wp:extent cx="213360" cy="216281"/>
            <wp:effectExtent l="0" t="0" r="0" b="0"/>
            <wp:docPr id="16216" name="Picture 16216"/>
            <wp:cNvGraphicFramePr/>
            <a:graphic xmlns:a="http://schemas.openxmlformats.org/drawingml/2006/main">
              <a:graphicData uri="http://schemas.openxmlformats.org/drawingml/2006/picture">
                <pic:pic xmlns:pic="http://schemas.openxmlformats.org/drawingml/2006/picture">
                  <pic:nvPicPr>
                    <pic:cNvPr id="16216" name="Picture 16216"/>
                    <pic:cNvPicPr/>
                  </pic:nvPicPr>
                  <pic:blipFill>
                    <a:blip r:embed="rId60"/>
                    <a:stretch>
                      <a:fillRect/>
                    </a:stretch>
                  </pic:blipFill>
                  <pic:spPr>
                    <a:xfrm>
                      <a:off x="0" y="0"/>
                      <a:ext cx="213360" cy="216281"/>
                    </a:xfrm>
                    <a:prstGeom prst="rect">
                      <a:avLst/>
                    </a:prstGeom>
                  </pic:spPr>
                </pic:pic>
              </a:graphicData>
            </a:graphic>
          </wp:inline>
        </w:drawing>
      </w:r>
      <w:r>
        <w:t xml:space="preserve">Se observa que aún se manejan claves de administrador para el Dominio, </w:t>
      </w:r>
      <w:proofErr w:type="spellStart"/>
      <w:r>
        <w:t>root</w:t>
      </w:r>
      <w:proofErr w:type="spellEnd"/>
      <w:r>
        <w:t xml:space="preserve"> y </w:t>
      </w:r>
      <w:proofErr w:type="spellStart"/>
      <w:r>
        <w:t>superusuarios</w:t>
      </w:r>
      <w:proofErr w:type="spellEnd"/>
      <w:r>
        <w:t xml:space="preserve"> de sistemas de información, Firewall, etc., en un archivo planos “</w:t>
      </w:r>
      <w:proofErr w:type="spellStart"/>
      <w:r>
        <w:t>txt</w:t>
      </w:r>
      <w:proofErr w:type="spellEnd"/>
      <w:r>
        <w:t xml:space="preserve">” sin encriptación, lo cual es un riesgo de seguridad en caso de que uno de estos archivos sea capturado. En la siguiente imagen se ve como en una de las entrevistas se abre un archivo con información de usuarios y contraseñas de </w:t>
      </w:r>
      <w:proofErr w:type="spellStart"/>
      <w:r>
        <w:t>root</w:t>
      </w:r>
      <w:proofErr w:type="spellEnd"/>
      <w:r>
        <w:t xml:space="preserve"> y </w:t>
      </w:r>
      <w:proofErr w:type="spellStart"/>
      <w:r>
        <w:t>webmaster</w:t>
      </w:r>
      <w:proofErr w:type="spellEnd"/>
      <w:r>
        <w:t xml:space="preserve"> para los  servicios de </w:t>
      </w:r>
      <w:proofErr w:type="spellStart"/>
      <w:r>
        <w:t>Koha</w:t>
      </w:r>
      <w:proofErr w:type="spellEnd"/>
      <w:r>
        <w:t xml:space="preserve"> y caja de herramientas en el equipo del entrevistado, las contraseñas se ocultan en la imagen para efectos de seguridad: </w:t>
      </w:r>
    </w:p>
    <w:p w:rsidR="0076001D" w:rsidRDefault="0034129A">
      <w:pPr>
        <w:spacing w:after="0" w:line="259" w:lineRule="auto"/>
        <w:ind w:left="0" w:right="1336" w:firstLine="0"/>
        <w:jc w:val="left"/>
      </w:pPr>
      <w:r>
        <w:t xml:space="preserve"> </w:t>
      </w:r>
    </w:p>
    <w:p w:rsidR="0076001D" w:rsidRDefault="0034129A">
      <w:pPr>
        <w:spacing w:after="0" w:line="259" w:lineRule="auto"/>
        <w:ind w:left="1870" w:firstLine="0"/>
        <w:jc w:val="left"/>
      </w:pPr>
      <w:r>
        <w:rPr>
          <w:noProof/>
          <w:lang w:val="es-ES" w:eastAsia="es-ES"/>
        </w:rPr>
        <w:drawing>
          <wp:inline distT="0" distB="0" distL="0" distR="0">
            <wp:extent cx="4383405" cy="2015363"/>
            <wp:effectExtent l="0" t="0" r="0" b="0"/>
            <wp:docPr id="16351" name="Picture 16351"/>
            <wp:cNvGraphicFramePr/>
            <a:graphic xmlns:a="http://schemas.openxmlformats.org/drawingml/2006/main">
              <a:graphicData uri="http://schemas.openxmlformats.org/drawingml/2006/picture">
                <pic:pic xmlns:pic="http://schemas.openxmlformats.org/drawingml/2006/picture">
                  <pic:nvPicPr>
                    <pic:cNvPr id="16351" name="Picture 16351"/>
                    <pic:cNvPicPr/>
                  </pic:nvPicPr>
                  <pic:blipFill>
                    <a:blip r:embed="rId169"/>
                    <a:stretch>
                      <a:fillRect/>
                    </a:stretch>
                  </pic:blipFill>
                  <pic:spPr>
                    <a:xfrm>
                      <a:off x="0" y="0"/>
                      <a:ext cx="4383405" cy="2015363"/>
                    </a:xfrm>
                    <a:prstGeom prst="rect">
                      <a:avLst/>
                    </a:prstGeom>
                  </pic:spPr>
                </pic:pic>
              </a:graphicData>
            </a:graphic>
          </wp:inline>
        </w:drawing>
      </w:r>
    </w:p>
    <w:p w:rsidR="0076001D" w:rsidRDefault="0034129A">
      <w:pPr>
        <w:spacing w:after="169" w:line="259" w:lineRule="auto"/>
        <w:ind w:left="0" w:firstLine="0"/>
        <w:jc w:val="left"/>
      </w:pPr>
      <w:r>
        <w:rPr>
          <w:sz w:val="10"/>
        </w:rPr>
        <w:t xml:space="preserve"> </w:t>
      </w:r>
      <w:r>
        <w:rPr>
          <w:sz w:val="10"/>
        </w:rPr>
        <w:tab/>
      </w:r>
      <w:r>
        <w:rPr>
          <w:sz w:val="20"/>
        </w:rPr>
        <w:t xml:space="preserve"> </w:t>
      </w:r>
    </w:p>
    <w:p w:rsidR="0076001D" w:rsidRDefault="0034129A">
      <w:pPr>
        <w:spacing w:after="114"/>
        <w:ind w:left="970" w:right="437" w:firstLine="0"/>
      </w:pPr>
      <w:r>
        <w:t xml:space="preserve">Si bien son archivos en equipos de usuarios de la OAP, por seguridad se debería utilizar alguna herramienta de administración de contraseñas que garantice su confidencialidad y evite posibles descubrimientos no permitidos. Este tipo de herramientas permiten la recordación de las mismas sin necesidad de ser reveladas al momento de consultarlas. </w:t>
      </w:r>
    </w:p>
    <w:p w:rsidR="0076001D" w:rsidRDefault="0034129A">
      <w:pPr>
        <w:spacing w:after="0" w:line="259" w:lineRule="auto"/>
        <w:ind w:left="0" w:right="9208" w:firstLine="0"/>
        <w:jc w:val="left"/>
      </w:pPr>
      <w:r>
        <w:rPr>
          <w:sz w:val="35"/>
        </w:rPr>
        <w:t xml:space="preserve"> </w:t>
      </w:r>
    </w:p>
    <w:p w:rsidR="0076001D" w:rsidRDefault="0034129A">
      <w:pPr>
        <w:spacing w:after="0" w:line="259" w:lineRule="auto"/>
        <w:ind w:left="542" w:firstLine="0"/>
        <w:jc w:val="left"/>
      </w:pPr>
      <w:r>
        <w:rPr>
          <w:noProof/>
          <w:lang w:val="es-ES" w:eastAsia="es-ES"/>
        </w:rPr>
        <w:drawing>
          <wp:inline distT="0" distB="0" distL="0" distR="0">
            <wp:extent cx="227546" cy="136525"/>
            <wp:effectExtent l="0" t="0" r="0" b="0"/>
            <wp:docPr id="16359" name="Picture 16359"/>
            <wp:cNvGraphicFramePr/>
            <a:graphic xmlns:a="http://schemas.openxmlformats.org/drawingml/2006/main">
              <a:graphicData uri="http://schemas.openxmlformats.org/drawingml/2006/picture">
                <pic:pic xmlns:pic="http://schemas.openxmlformats.org/drawingml/2006/picture">
                  <pic:nvPicPr>
                    <pic:cNvPr id="16359" name="Picture 16359"/>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ind w:left="545" w:right="432" w:firstLine="348"/>
      </w:pPr>
      <w:r>
        <w:t xml:space="preserve">Se cuenta con el archivo en Excel: “Plan de mantenimiento y monitoreo.xls”, en el cual se registran las acciones de mantenimiento y monitoreo a la infraestructura de TI, en donde se referencian informes sobre estas acciones. Sin embargo, aún no se tiene una herramienta única de monitoreo sobre todos los servicios e infraestructura que complemente las actividades actuales </w:t>
      </w:r>
      <w:r>
        <w:lastRenderedPageBreak/>
        <w:t xml:space="preserve">de los encargados, además de facilitar un control ágil y oportuno sobre posibles incidentes y/o actuar de forma preventiva ante ellos. En  las manuales documentados de administración de servidores, red LAN, dominio, firewall, etc., se hace referencia a labores de monitoreo sobre estos servicios, pero no se detallan las mismas que deberían incluirse en un procedimiento único para tener un control y seguimiento periódico de estas acciones. Existen herramientas de monitoreo gratuitas que deben ser evaluadas para implementar estos controles automatizados, como por ejemplo el </w:t>
      </w:r>
      <w:proofErr w:type="spellStart"/>
      <w:r>
        <w:rPr>
          <w:b/>
        </w:rPr>
        <w:t>Zabbix</w:t>
      </w:r>
      <w:proofErr w:type="spellEnd"/>
      <w:r>
        <w:rPr>
          <w:b/>
        </w:rPr>
        <w:t xml:space="preserve">, </w:t>
      </w:r>
      <w:r>
        <w:t xml:space="preserve">que en su versión gratuita incluye todas las funcionalidades para plataformas de menos de 100 nodos. </w:t>
      </w:r>
    </w:p>
    <w:p w:rsidR="0076001D" w:rsidRDefault="0034129A">
      <w:pPr>
        <w:spacing w:after="0" w:line="259" w:lineRule="auto"/>
        <w:ind w:left="0" w:firstLine="0"/>
        <w:jc w:val="left"/>
      </w:pPr>
      <w:r>
        <w:rPr>
          <w:sz w:val="20"/>
        </w:rPr>
        <w:t xml:space="preserve"> </w:t>
      </w:r>
    </w:p>
    <w:p w:rsidR="0076001D" w:rsidRDefault="0034129A">
      <w:pPr>
        <w:numPr>
          <w:ilvl w:val="0"/>
          <w:numId w:val="27"/>
        </w:numPr>
        <w:ind w:left="914" w:right="437"/>
      </w:pPr>
      <w:r>
        <w:t xml:space="preserve">En cuanto al antivirus en las pruebas realizadas en el equipo asignado a la auditoría, se evidencio que la configuración y protecciones del cliente del antivirus es la adecuada y bloqueo el intento de ejecución de archivos maliciosos desde la unidad del auditor. </w:t>
      </w:r>
    </w:p>
    <w:p w:rsidR="0076001D" w:rsidRDefault="0034129A">
      <w:pPr>
        <w:spacing w:after="0" w:line="259" w:lineRule="auto"/>
        <w:ind w:left="0" w:right="9287" w:firstLine="0"/>
        <w:jc w:val="left"/>
      </w:pPr>
      <w:r>
        <w:rPr>
          <w:sz w:val="20"/>
        </w:rPr>
        <w:t xml:space="preserve"> </w:t>
      </w:r>
    </w:p>
    <w:p w:rsidR="0076001D" w:rsidRDefault="0034129A">
      <w:pPr>
        <w:numPr>
          <w:ilvl w:val="0"/>
          <w:numId w:val="27"/>
        </w:numPr>
        <w:ind w:left="914" w:right="437"/>
      </w:pPr>
      <w:r>
        <w:t xml:space="preserve">Se cuenta con el MN-GT-12-01 Manual de soporte de primer nivel y administración del antivirus en el cual se detallan correctamente las configuraciones, características y gestión de administración de la consola de antivirus </w:t>
      </w:r>
      <w:proofErr w:type="spellStart"/>
      <w:r>
        <w:t>Kaspersky</w:t>
      </w:r>
      <w:proofErr w:type="spellEnd"/>
      <w:r>
        <w:t xml:space="preserve"> Security Center, también se incluye la revisión, instalación y actualización de los agentes, modificación y creación de directivas y tareas. </w:t>
      </w:r>
    </w:p>
    <w:p w:rsidR="0076001D" w:rsidRDefault="0034129A">
      <w:pPr>
        <w:spacing w:after="0" w:line="259" w:lineRule="auto"/>
        <w:ind w:left="0" w:right="9288" w:firstLine="0"/>
        <w:jc w:val="left"/>
      </w:pPr>
      <w:r>
        <w:rPr>
          <w:sz w:val="20"/>
        </w:rPr>
        <w:t xml:space="preserve"> </w:t>
      </w:r>
    </w:p>
    <w:p w:rsidR="0076001D" w:rsidRDefault="0034129A">
      <w:pPr>
        <w:numPr>
          <w:ilvl w:val="0"/>
          <w:numId w:val="27"/>
        </w:numPr>
        <w:ind w:left="914" w:right="437"/>
      </w:pPr>
      <w:r>
        <w:t xml:space="preserve">En los informes generados durante la auditoria desde la consola del antivirus se evidencia que se cumplen con las labores de administración y seguimientos de las  alertas informadas en la consola, solo se detectan 3 equipos con las bases de datos desactualizadas y 3 con problemas de conexión y de protección desactivada. Lo cual probablemente se debe al trabajo remoto por la contingencia de Covid-19. </w:t>
      </w:r>
    </w:p>
    <w:p w:rsidR="0076001D" w:rsidRDefault="0034129A">
      <w:pPr>
        <w:spacing w:after="6080" w:line="259" w:lineRule="auto"/>
        <w:ind w:left="0" w:firstLine="0"/>
        <w:jc w:val="left"/>
      </w:pPr>
      <w:r>
        <w:rPr>
          <w:sz w:val="17"/>
        </w:rPr>
        <w:t xml:space="preserve"> </w:t>
      </w:r>
    </w:p>
    <w:p w:rsidR="0076001D" w:rsidRDefault="0034129A">
      <w:pPr>
        <w:spacing w:after="125" w:line="259" w:lineRule="auto"/>
        <w:ind w:left="0" w:right="113" w:firstLine="0"/>
        <w:jc w:val="left"/>
      </w:pPr>
      <w:r>
        <w:rPr>
          <w:sz w:val="19"/>
        </w:rPr>
        <w:lastRenderedPageBreak/>
        <w:t xml:space="preserve"> </w:t>
      </w:r>
    </w:p>
    <w:p w:rsidR="0076001D" w:rsidRDefault="0034129A">
      <w:pPr>
        <w:ind w:left="901" w:right="437" w:hanging="46"/>
      </w:pPr>
      <w:r>
        <w:rPr>
          <w:rFonts w:ascii="Calibri" w:eastAsia="Calibri" w:hAnsi="Calibri" w:cs="Calibri"/>
          <w:noProof/>
          <w:lang w:val="es-ES" w:eastAsia="es-ES"/>
        </w:rPr>
        <mc:AlternateContent>
          <mc:Choice Requires="wpg">
            <w:drawing>
              <wp:anchor distT="0" distB="0" distL="114300" distR="114300" simplePos="0" relativeHeight="251679744" behindDoc="0" locked="0" layoutInCell="1" allowOverlap="1">
                <wp:simplePos x="0" y="0"/>
                <wp:positionH relativeFrom="column">
                  <wp:posOffset>344043</wp:posOffset>
                </wp:positionH>
                <wp:positionV relativeFrom="paragraph">
                  <wp:posOffset>-4049458</wp:posOffset>
                </wp:positionV>
                <wp:extent cx="6003290" cy="4174998"/>
                <wp:effectExtent l="0" t="0" r="0" b="0"/>
                <wp:wrapSquare wrapText="bothSides"/>
                <wp:docPr id="172860" name="Group 172860"/>
                <wp:cNvGraphicFramePr/>
                <a:graphic xmlns:a="http://schemas.openxmlformats.org/drawingml/2006/main">
                  <a:graphicData uri="http://schemas.microsoft.com/office/word/2010/wordprocessingGroup">
                    <wpg:wgp>
                      <wpg:cNvGrpSpPr/>
                      <wpg:grpSpPr>
                        <a:xfrm>
                          <a:off x="0" y="0"/>
                          <a:ext cx="6003290" cy="4174998"/>
                          <a:chOff x="0" y="0"/>
                          <a:chExt cx="6003290" cy="4174998"/>
                        </a:xfrm>
                      </wpg:grpSpPr>
                      <pic:pic xmlns:pic="http://schemas.openxmlformats.org/drawingml/2006/picture">
                        <pic:nvPicPr>
                          <pic:cNvPr id="16421" name="Picture 16421"/>
                          <pic:cNvPicPr/>
                        </pic:nvPicPr>
                        <pic:blipFill>
                          <a:blip r:embed="rId60"/>
                          <a:stretch>
                            <a:fillRect/>
                          </a:stretch>
                        </pic:blipFill>
                        <pic:spPr>
                          <a:xfrm>
                            <a:off x="0" y="3972192"/>
                            <a:ext cx="200660" cy="202806"/>
                          </a:xfrm>
                          <a:prstGeom prst="rect">
                            <a:avLst/>
                          </a:prstGeom>
                        </pic:spPr>
                      </pic:pic>
                      <pic:pic xmlns:pic="http://schemas.openxmlformats.org/drawingml/2006/picture">
                        <pic:nvPicPr>
                          <pic:cNvPr id="16423" name="Picture 16423"/>
                          <pic:cNvPicPr/>
                        </pic:nvPicPr>
                        <pic:blipFill>
                          <a:blip r:embed="rId170"/>
                          <a:stretch>
                            <a:fillRect/>
                          </a:stretch>
                        </pic:blipFill>
                        <pic:spPr>
                          <a:xfrm>
                            <a:off x="228600" y="0"/>
                            <a:ext cx="5774690" cy="3826383"/>
                          </a:xfrm>
                          <a:prstGeom prst="rect">
                            <a:avLst/>
                          </a:prstGeom>
                        </pic:spPr>
                      </pic:pic>
                    </wpg:wgp>
                  </a:graphicData>
                </a:graphic>
              </wp:anchor>
            </w:drawing>
          </mc:Choice>
          <mc:Fallback xmlns:a="http://schemas.openxmlformats.org/drawingml/2006/main" xmlns:w16se="http://schemas.microsoft.com/office/word/2015/wordml/symex" xmlns:cx="http://schemas.microsoft.com/office/drawing/2014/chartex">
            <w:pict>
              <v:group id="Group 172860" style="width:472.7pt;height:328.74pt;position:absolute;mso-position-horizontal-relative:text;mso-position-horizontal:absolute;margin-left:27.09pt;mso-position-vertical-relative:text;margin-top:-318.855pt;" coordsize="60032,41749">
                <v:shape id="Picture 16421" style="position:absolute;width:2006;height:2028;left:0;top:39721;" filled="f">
                  <v:imagedata r:id="rId117"/>
                </v:shape>
                <v:shape id="Picture 16423" style="position:absolute;width:57746;height:38263;left:2286;top:0;" filled="f">
                  <v:imagedata r:id="rId171"/>
                </v:shape>
                <w10:wrap type="square"/>
              </v:group>
            </w:pict>
          </mc:Fallback>
        </mc:AlternateContent>
      </w:r>
      <w:r>
        <w:rPr>
          <w:rFonts w:ascii="Times New Roman" w:eastAsia="Times New Roman" w:hAnsi="Times New Roman" w:cs="Times New Roman"/>
          <w:sz w:val="20"/>
        </w:rPr>
        <w:t xml:space="preserve"> </w:t>
      </w:r>
      <w:r>
        <w:t xml:space="preserve">No se encuentran configuradas en la consola del antivirus, controles y/o restricciones para el uso de medios extraíbles tales como USB, cd ´s, discos duros externos, celulares, etc., que son los medios más utilizados para la trasmisión de virus y extracción de información no autorizada. Si bien en el compromiso de cumplimiento de las políticas TIC del IDEP que firman los funcionarios y contratistas, se comprometen a: ejecutar y permitir que el antivirus complete la revisión de todos los archivos del medio extraíble”, esto no garantiza que estos medios extraíbles (USB ´s, etc.), contenga software de hacking portable y/o scripts maliciosos que no son detectados o considerados como virus, y por ende comprometan la seguridad de los </w:t>
      </w:r>
      <w:proofErr w:type="spellStart"/>
      <w:r>
        <w:t>PC’s</w:t>
      </w:r>
      <w:proofErr w:type="spellEnd"/>
      <w:r>
        <w:t xml:space="preserve"> de la entidad. Desde la consola de </w:t>
      </w:r>
      <w:proofErr w:type="spellStart"/>
      <w:r>
        <w:t>Kaspersky</w:t>
      </w:r>
      <w:proofErr w:type="spellEnd"/>
      <w:r>
        <w:t xml:space="preserve"> Security Center en la funcionalidad de control de dispositivos es posible configurar este control sobre estos y habilitar el uso solo de los dispositivos autorizados por el área de TI. </w:t>
      </w:r>
    </w:p>
    <w:p w:rsidR="0076001D" w:rsidRDefault="0034129A">
      <w:pPr>
        <w:spacing w:after="158" w:line="259" w:lineRule="auto"/>
        <w:ind w:left="0" w:firstLine="0"/>
        <w:jc w:val="left"/>
      </w:pPr>
      <w:r>
        <w:rPr>
          <w:sz w:val="14"/>
        </w:rPr>
        <w:t xml:space="preserve"> </w:t>
      </w:r>
    </w:p>
    <w:p w:rsidR="0076001D" w:rsidRDefault="0034129A">
      <w:pPr>
        <w:pStyle w:val="Ttulo4"/>
        <w:tabs>
          <w:tab w:val="center" w:pos="870"/>
          <w:tab w:val="center" w:pos="4260"/>
        </w:tabs>
        <w:ind w:left="0" w:firstLine="0"/>
      </w:pPr>
      <w:r>
        <w:rPr>
          <w:rFonts w:ascii="Calibri" w:eastAsia="Calibri" w:hAnsi="Calibri" w:cs="Calibri"/>
          <w:b w:val="0"/>
        </w:rPr>
        <w:tab/>
      </w:r>
      <w:r>
        <w:t xml:space="preserve">5.2.1.1 </w:t>
      </w:r>
      <w:r>
        <w:tab/>
        <w:t xml:space="preserve">Pruebas de seguridad </w:t>
      </w:r>
    </w:p>
    <w:p w:rsidR="0076001D" w:rsidRDefault="0034129A">
      <w:pPr>
        <w:spacing w:after="2" w:line="259" w:lineRule="auto"/>
        <w:ind w:left="0" w:firstLine="0"/>
        <w:jc w:val="left"/>
      </w:pPr>
      <w:r>
        <w:rPr>
          <w:b/>
          <w:sz w:val="20"/>
        </w:rPr>
        <w:t xml:space="preserve"> </w:t>
      </w:r>
    </w:p>
    <w:p w:rsidR="0076001D" w:rsidRDefault="0034129A">
      <w:pPr>
        <w:ind w:left="545" w:right="434" w:firstLine="0"/>
      </w:pPr>
      <w:r>
        <w:t xml:space="preserve">Vale aclarar que la presente auditoría no contempla ataques de penetración ni de hacking </w:t>
      </w:r>
      <w:proofErr w:type="spellStart"/>
      <w:r>
        <w:t>etico</w:t>
      </w:r>
      <w:proofErr w:type="spellEnd"/>
      <w:r>
        <w:t xml:space="preserve">, las pruebas fueron ejecutadas remotamente a </w:t>
      </w:r>
      <w:proofErr w:type="spellStart"/>
      <w:r>
        <w:t>traves</w:t>
      </w:r>
      <w:proofErr w:type="spellEnd"/>
      <w:r>
        <w:t xml:space="preserve"> de la VPN y </w:t>
      </w:r>
      <w:proofErr w:type="spellStart"/>
      <w:r>
        <w:t>unicamente</w:t>
      </w:r>
      <w:proofErr w:type="spellEnd"/>
      <w:r>
        <w:t xml:space="preserve"> en el equipo asignado a la auditoria, por lo tanto los resultados son de carácter parcial y nos son concluyentes a la totalidad de la red interna de la Entidad. </w:t>
      </w:r>
    </w:p>
    <w:p w:rsidR="0076001D" w:rsidRDefault="0034129A">
      <w:pPr>
        <w:spacing w:after="0" w:line="259" w:lineRule="auto"/>
        <w:ind w:left="0" w:firstLine="0"/>
        <w:jc w:val="left"/>
      </w:pPr>
      <w:r>
        <w:rPr>
          <w:sz w:val="20"/>
        </w:rPr>
        <w:t xml:space="preserve"> </w:t>
      </w:r>
    </w:p>
    <w:p w:rsidR="0076001D" w:rsidRDefault="0034129A">
      <w:pPr>
        <w:spacing w:after="2" w:line="259" w:lineRule="auto"/>
        <w:ind w:left="0" w:firstLine="0"/>
        <w:jc w:val="left"/>
      </w:pPr>
      <w:r>
        <w:rPr>
          <w:sz w:val="21"/>
        </w:rPr>
        <w:t xml:space="preserve"> </w:t>
      </w:r>
    </w:p>
    <w:p w:rsidR="0076001D" w:rsidRDefault="0034129A">
      <w:pPr>
        <w:spacing w:after="212"/>
        <w:ind w:left="914" w:right="434"/>
      </w:pPr>
      <w:r>
        <w:rPr>
          <w:noProof/>
          <w:lang w:val="es-ES" w:eastAsia="es-ES"/>
        </w:rPr>
        <w:drawing>
          <wp:inline distT="0" distB="0" distL="0" distR="0">
            <wp:extent cx="177165" cy="177800"/>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119"/>
                    <a:stretch>
                      <a:fillRect/>
                    </a:stretch>
                  </pic:blipFill>
                  <pic:spPr>
                    <a:xfrm>
                      <a:off x="0" y="0"/>
                      <a:ext cx="177165" cy="177800"/>
                    </a:xfrm>
                    <a:prstGeom prst="rect">
                      <a:avLst/>
                    </a:prstGeom>
                  </pic:spPr>
                </pic:pic>
              </a:graphicData>
            </a:graphic>
          </wp:inline>
        </w:drawing>
      </w:r>
      <w:r>
        <w:rPr>
          <w:rFonts w:ascii="Times New Roman" w:eastAsia="Times New Roman" w:hAnsi="Times New Roman" w:cs="Times New Roman"/>
          <w:sz w:val="20"/>
        </w:rPr>
        <w:t xml:space="preserve">  </w:t>
      </w:r>
      <w:r>
        <w:t xml:space="preserve">En cuanto a la red WIFI de invitados de acuerdo al nuevo diagrama de red se puede determinar que se encuentra debidamente protegida </w:t>
      </w:r>
      <w:r>
        <w:lastRenderedPageBreak/>
        <w:t xml:space="preserve">para evitar accesos no autorizados  y aislada de la red local administrativa evitando que se pueda obtener información de servidores, equipos activos de red y de </w:t>
      </w:r>
      <w:proofErr w:type="spellStart"/>
      <w:r>
        <w:t>PC’s</w:t>
      </w:r>
      <w:proofErr w:type="spellEnd"/>
      <w:r>
        <w:t xml:space="preserve">. Las pruebas necesarias para garantizar la correcta configuración de lo representado en el diagrama de red solo son posibles presencialmente y que no están incluidas en el alcance de esta auditoría. </w:t>
      </w:r>
    </w:p>
    <w:p w:rsidR="0076001D" w:rsidRDefault="0034129A">
      <w:pPr>
        <w:ind w:left="914" w:right="434"/>
      </w:pPr>
      <w:r>
        <w:rPr>
          <w:noProof/>
          <w:lang w:val="es-ES" w:eastAsia="es-ES"/>
        </w:rPr>
        <w:drawing>
          <wp:inline distT="0" distB="0" distL="0" distR="0">
            <wp:extent cx="200419" cy="201930"/>
            <wp:effectExtent l="0" t="0" r="0" b="0"/>
            <wp:docPr id="16529" name="Picture 16529"/>
            <wp:cNvGraphicFramePr/>
            <a:graphic xmlns:a="http://schemas.openxmlformats.org/drawingml/2006/main">
              <a:graphicData uri="http://schemas.openxmlformats.org/drawingml/2006/picture">
                <pic:pic xmlns:pic="http://schemas.openxmlformats.org/drawingml/2006/picture">
                  <pic:nvPicPr>
                    <pic:cNvPr id="16529" name="Picture 16529"/>
                    <pic:cNvPicPr/>
                  </pic:nvPicPr>
                  <pic:blipFill>
                    <a:blip r:embed="rId60"/>
                    <a:stretch>
                      <a:fillRect/>
                    </a:stretch>
                  </pic:blipFill>
                  <pic:spPr>
                    <a:xfrm>
                      <a:off x="0" y="0"/>
                      <a:ext cx="200419" cy="201930"/>
                    </a:xfrm>
                    <a:prstGeom prst="rect">
                      <a:avLst/>
                    </a:prstGeom>
                  </pic:spPr>
                </pic:pic>
              </a:graphicData>
            </a:graphic>
          </wp:inline>
        </w:drawing>
      </w:r>
      <w:r>
        <w:rPr>
          <w:rFonts w:ascii="Times New Roman" w:eastAsia="Times New Roman" w:hAnsi="Times New Roman" w:cs="Times New Roman"/>
          <w:sz w:val="20"/>
        </w:rPr>
        <w:t xml:space="preserve"> </w:t>
      </w:r>
      <w:r>
        <w:t xml:space="preserve">De acuerdo a la revisión de la configuración en el firewall y al documento: MN-GT-12-02 Manual soporte de primer nivel Administración del Firewall V1, no se especifica que la asignación de direcciones </w:t>
      </w:r>
      <w:proofErr w:type="spellStart"/>
      <w:r>
        <w:t>Ip</w:t>
      </w:r>
      <w:proofErr w:type="spellEnd"/>
      <w:r>
        <w:t xml:space="preserve"> automática (DHCP), este habilitado únicamente a equipos con su dirección de tarjeta de red (Mac </w:t>
      </w:r>
      <w:proofErr w:type="spellStart"/>
      <w:r>
        <w:t>Address</w:t>
      </w:r>
      <w:proofErr w:type="spellEnd"/>
      <w:r>
        <w:t xml:space="preserve">) registrada, para así evitar posibles conexiones no autorizadas desde puntos de red local. Esta configuración debe estar incluida en el manual de administración del Firewall para asegurar la continuidad de la misma en cualquier cambio que se realice a la configuración o plataforma. </w:t>
      </w:r>
    </w:p>
    <w:p w:rsidR="0076001D" w:rsidRDefault="0034129A">
      <w:pPr>
        <w:spacing w:after="0" w:line="259" w:lineRule="auto"/>
        <w:ind w:left="0" w:firstLine="0"/>
        <w:jc w:val="left"/>
      </w:pPr>
      <w:r>
        <w:rPr>
          <w:sz w:val="20"/>
        </w:rPr>
        <w:t xml:space="preserve"> </w:t>
      </w:r>
    </w:p>
    <w:p w:rsidR="0076001D" w:rsidRDefault="0034129A">
      <w:pPr>
        <w:spacing w:after="8" w:line="259" w:lineRule="auto"/>
        <w:ind w:left="542" w:firstLine="0"/>
        <w:jc w:val="left"/>
      </w:pPr>
      <w:r>
        <w:rPr>
          <w:noProof/>
          <w:lang w:val="es-ES" w:eastAsia="es-ES"/>
        </w:rPr>
        <w:drawing>
          <wp:inline distT="0" distB="0" distL="0" distR="0">
            <wp:extent cx="228600" cy="137160"/>
            <wp:effectExtent l="0" t="0" r="0" b="0"/>
            <wp:docPr id="16531" name="Picture 16531"/>
            <wp:cNvGraphicFramePr/>
            <a:graphic xmlns:a="http://schemas.openxmlformats.org/drawingml/2006/main">
              <a:graphicData uri="http://schemas.openxmlformats.org/drawingml/2006/picture">
                <pic:pic xmlns:pic="http://schemas.openxmlformats.org/drawingml/2006/picture">
                  <pic:nvPicPr>
                    <pic:cNvPr id="16531" name="Picture 16531"/>
                    <pic:cNvPicPr/>
                  </pic:nvPicPr>
                  <pic:blipFill>
                    <a:blip r:embed="rId8"/>
                    <a:stretch>
                      <a:fillRect/>
                    </a:stretch>
                  </pic:blipFill>
                  <pic:spPr>
                    <a:xfrm>
                      <a:off x="0" y="0"/>
                      <a:ext cx="228600" cy="137160"/>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14" w:line="259" w:lineRule="auto"/>
        <w:ind w:left="0" w:right="9251" w:firstLine="0"/>
        <w:jc w:val="left"/>
      </w:pPr>
      <w:r>
        <w:rPr>
          <w:sz w:val="16"/>
        </w:rPr>
        <w:t xml:space="preserve"> </w:t>
      </w:r>
    </w:p>
    <w:p w:rsidR="0076001D" w:rsidRDefault="0034129A">
      <w:pPr>
        <w:ind w:left="914" w:right="431"/>
      </w:pPr>
      <w:r>
        <w:rPr>
          <w:noProof/>
          <w:lang w:val="es-ES" w:eastAsia="es-ES"/>
        </w:rPr>
        <w:drawing>
          <wp:inline distT="0" distB="0" distL="0" distR="0">
            <wp:extent cx="200660" cy="202171"/>
            <wp:effectExtent l="0" t="0" r="0" b="0"/>
            <wp:docPr id="16533" name="Picture 16533"/>
            <wp:cNvGraphicFramePr/>
            <a:graphic xmlns:a="http://schemas.openxmlformats.org/drawingml/2006/main">
              <a:graphicData uri="http://schemas.openxmlformats.org/drawingml/2006/picture">
                <pic:pic xmlns:pic="http://schemas.openxmlformats.org/drawingml/2006/picture">
                  <pic:nvPicPr>
                    <pic:cNvPr id="16533" name="Picture 16533"/>
                    <pic:cNvPicPr/>
                  </pic:nvPicPr>
                  <pic:blipFill>
                    <a:blip r:embed="rId60"/>
                    <a:stretch>
                      <a:fillRect/>
                    </a:stretch>
                  </pic:blipFill>
                  <pic:spPr>
                    <a:xfrm>
                      <a:off x="0" y="0"/>
                      <a:ext cx="200660" cy="202171"/>
                    </a:xfrm>
                    <a:prstGeom prst="rect">
                      <a:avLst/>
                    </a:prstGeom>
                  </pic:spPr>
                </pic:pic>
              </a:graphicData>
            </a:graphic>
          </wp:inline>
        </w:drawing>
      </w:r>
      <w:r>
        <w:t xml:space="preserve">Los equipos de usuario y servidores se encuentran en un mismo segmento de red (192.168.1.x), por lo cual se permite realizar escaneos, descubrimiento de puertos y servicios activos, y captura de paquetes internos hacia los servidores de la Entidad, que pueden ser usados para planificar ataques o interceptar información, comprometiendo así la seguridad de la infraestructura de la entidad. Cabe aclarar que esto solo puede ser realizado desde un equipo de la red local o con acceso remoto conectado a la VPN. El auditor logro realizar escaneos de red desde su equipo conectado a la VPN, obteniendo información de servidores, equipos y puertos disponibles en la infraestructura de red, como se muestra en las siguientes imágenes: </w:t>
      </w:r>
    </w:p>
    <w:p w:rsidR="0076001D" w:rsidRDefault="0034129A">
      <w:pPr>
        <w:spacing w:after="0" w:line="259" w:lineRule="auto"/>
        <w:ind w:left="0" w:right="588" w:firstLine="0"/>
        <w:jc w:val="left"/>
      </w:pPr>
      <w:r>
        <w:rPr>
          <w:sz w:val="23"/>
        </w:rPr>
        <w:t xml:space="preserve"> </w:t>
      </w:r>
    </w:p>
    <w:p w:rsidR="0076001D" w:rsidRDefault="0034129A">
      <w:pPr>
        <w:spacing w:after="0" w:line="259" w:lineRule="auto"/>
        <w:ind w:left="0" w:right="530" w:firstLine="0"/>
        <w:jc w:val="right"/>
      </w:pPr>
      <w:r>
        <w:rPr>
          <w:noProof/>
          <w:lang w:val="es-ES" w:eastAsia="es-ES"/>
        </w:rPr>
        <w:lastRenderedPageBreak/>
        <w:drawing>
          <wp:inline distT="0" distB="0" distL="0" distR="0">
            <wp:extent cx="5472176" cy="2966720"/>
            <wp:effectExtent l="0" t="0" r="0" b="0"/>
            <wp:docPr id="16597" name="Picture 16597"/>
            <wp:cNvGraphicFramePr/>
            <a:graphic xmlns:a="http://schemas.openxmlformats.org/drawingml/2006/main">
              <a:graphicData uri="http://schemas.openxmlformats.org/drawingml/2006/picture">
                <pic:pic xmlns:pic="http://schemas.openxmlformats.org/drawingml/2006/picture">
                  <pic:nvPicPr>
                    <pic:cNvPr id="16597" name="Picture 16597"/>
                    <pic:cNvPicPr/>
                  </pic:nvPicPr>
                  <pic:blipFill>
                    <a:blip r:embed="rId172"/>
                    <a:stretch>
                      <a:fillRect/>
                    </a:stretch>
                  </pic:blipFill>
                  <pic:spPr>
                    <a:xfrm>
                      <a:off x="0" y="0"/>
                      <a:ext cx="5472176" cy="2966720"/>
                    </a:xfrm>
                    <a:prstGeom prst="rect">
                      <a:avLst/>
                    </a:prstGeom>
                  </pic:spPr>
                </pic:pic>
              </a:graphicData>
            </a:graphic>
          </wp:inline>
        </w:drawing>
      </w:r>
      <w:r>
        <w:rPr>
          <w:sz w:val="20"/>
        </w:rPr>
        <w:t xml:space="preserve"> </w:t>
      </w:r>
    </w:p>
    <w:p w:rsidR="0076001D" w:rsidRDefault="0034129A">
      <w:pPr>
        <w:spacing w:after="0" w:line="259" w:lineRule="auto"/>
        <w:ind w:left="0" w:firstLine="0"/>
        <w:jc w:val="left"/>
      </w:pPr>
      <w:r>
        <w:rPr>
          <w:sz w:val="17"/>
        </w:rPr>
        <w:t xml:space="preserve"> </w:t>
      </w:r>
    </w:p>
    <w:p w:rsidR="0076001D" w:rsidRDefault="0034129A">
      <w:pPr>
        <w:spacing w:after="13" w:line="259" w:lineRule="auto"/>
        <w:ind w:left="902" w:firstLine="0"/>
        <w:jc w:val="left"/>
      </w:pPr>
      <w:r>
        <w:rPr>
          <w:noProof/>
          <w:lang w:val="es-ES" w:eastAsia="es-ES"/>
        </w:rPr>
        <w:drawing>
          <wp:inline distT="0" distB="0" distL="0" distR="0">
            <wp:extent cx="5665978" cy="3010535"/>
            <wp:effectExtent l="0" t="0" r="0" b="0"/>
            <wp:docPr id="16601" name="Picture 16601"/>
            <wp:cNvGraphicFramePr/>
            <a:graphic xmlns:a="http://schemas.openxmlformats.org/drawingml/2006/main">
              <a:graphicData uri="http://schemas.openxmlformats.org/drawingml/2006/picture">
                <pic:pic xmlns:pic="http://schemas.openxmlformats.org/drawingml/2006/picture">
                  <pic:nvPicPr>
                    <pic:cNvPr id="16601" name="Picture 16601"/>
                    <pic:cNvPicPr/>
                  </pic:nvPicPr>
                  <pic:blipFill>
                    <a:blip r:embed="rId173"/>
                    <a:stretch>
                      <a:fillRect/>
                    </a:stretch>
                  </pic:blipFill>
                  <pic:spPr>
                    <a:xfrm>
                      <a:off x="0" y="0"/>
                      <a:ext cx="5665978" cy="3010535"/>
                    </a:xfrm>
                    <a:prstGeom prst="rect">
                      <a:avLst/>
                    </a:prstGeom>
                  </pic:spPr>
                </pic:pic>
              </a:graphicData>
            </a:graphic>
          </wp:inline>
        </w:drawing>
      </w:r>
    </w:p>
    <w:p w:rsidR="0076001D" w:rsidRDefault="0034129A">
      <w:pPr>
        <w:spacing w:after="136" w:line="259" w:lineRule="auto"/>
        <w:ind w:left="0" w:firstLine="0"/>
        <w:jc w:val="left"/>
      </w:pPr>
      <w:r>
        <w:rPr>
          <w:sz w:val="16"/>
        </w:rPr>
        <w:t xml:space="preserve"> </w:t>
      </w:r>
    </w:p>
    <w:p w:rsidR="0076001D" w:rsidRDefault="0034129A">
      <w:pPr>
        <w:pStyle w:val="Ttulo3"/>
        <w:spacing w:after="25"/>
        <w:ind w:left="538"/>
      </w:pPr>
      <w:r>
        <w:t xml:space="preserve">5.2.2 Seguridad servicios de correo </w:t>
      </w:r>
    </w:p>
    <w:p w:rsidR="0076001D" w:rsidRDefault="0034129A">
      <w:pPr>
        <w:numPr>
          <w:ilvl w:val="0"/>
          <w:numId w:val="28"/>
        </w:numPr>
        <w:ind w:left="909" w:right="434" w:hanging="364"/>
      </w:pPr>
      <w:r>
        <w:t xml:space="preserve">En el documento MN-GT-12-04 Manual para la administración de usuarios que se vinculan a los sistemas de información o servicios tecnológicos del Idep v1, se detalla correctamente el proceso de creación y eliminación de cuentas de correos electrónicos de usuarios desde la consola de administración de G Suite y la trasferencia de datos de las cuentas. Se tiene configurado la longitud mínima de 8 caracteres en la contraseña de los correos. </w:t>
      </w:r>
    </w:p>
    <w:p w:rsidR="0076001D" w:rsidRDefault="0034129A">
      <w:pPr>
        <w:spacing w:after="0" w:line="259" w:lineRule="auto"/>
        <w:ind w:left="0" w:right="9251" w:firstLine="0"/>
        <w:jc w:val="left"/>
      </w:pPr>
      <w:r>
        <w:rPr>
          <w:sz w:val="24"/>
        </w:rPr>
        <w:t xml:space="preserve"> </w:t>
      </w:r>
    </w:p>
    <w:p w:rsidR="0076001D" w:rsidRDefault="0034129A">
      <w:pPr>
        <w:spacing w:after="214"/>
        <w:ind w:left="914" w:right="437"/>
      </w:pPr>
      <w:r>
        <w:rPr>
          <w:noProof/>
          <w:lang w:val="es-ES" w:eastAsia="es-ES"/>
        </w:rPr>
        <w:drawing>
          <wp:inline distT="0" distB="0" distL="0" distR="0">
            <wp:extent cx="200660" cy="202171"/>
            <wp:effectExtent l="0" t="0" r="0" b="0"/>
            <wp:docPr id="16684" name="Picture 16684"/>
            <wp:cNvGraphicFramePr/>
            <a:graphic xmlns:a="http://schemas.openxmlformats.org/drawingml/2006/main">
              <a:graphicData uri="http://schemas.openxmlformats.org/drawingml/2006/picture">
                <pic:pic xmlns:pic="http://schemas.openxmlformats.org/drawingml/2006/picture">
                  <pic:nvPicPr>
                    <pic:cNvPr id="16684" name="Picture 16684"/>
                    <pic:cNvPicPr/>
                  </pic:nvPicPr>
                  <pic:blipFill>
                    <a:blip r:embed="rId60"/>
                    <a:stretch>
                      <a:fillRect/>
                    </a:stretch>
                  </pic:blipFill>
                  <pic:spPr>
                    <a:xfrm>
                      <a:off x="0" y="0"/>
                      <a:ext cx="200660" cy="202171"/>
                    </a:xfrm>
                    <a:prstGeom prst="rect">
                      <a:avLst/>
                    </a:prstGeom>
                  </pic:spPr>
                </pic:pic>
              </a:graphicData>
            </a:graphic>
          </wp:inline>
        </w:drawing>
      </w:r>
      <w:r>
        <w:t xml:space="preserve">Si bien el servicio de correo electrónico es el principal medio de comunicación entre los funcionarios, </w:t>
      </w:r>
      <w:r>
        <w:lastRenderedPageBreak/>
        <w:t xml:space="preserve">contratistas y proveedores del Idep, no se cuenta con un manual que detalle la administración y gestión de estas cuentas, en cuanto a parámetros y políticas de seguridad y protecciones desde la consola administrativa de Google, tampoco se hace referencia a este servicio en el plan de contingencia, por lo cual se puede afirmar que no se tiene contempladas acciones de contingencia en caso de fallo o ausencia de este servicio. </w:t>
      </w:r>
    </w:p>
    <w:p w:rsidR="0076001D" w:rsidRDefault="0034129A">
      <w:pPr>
        <w:numPr>
          <w:ilvl w:val="0"/>
          <w:numId w:val="28"/>
        </w:numPr>
        <w:spacing w:after="212"/>
        <w:ind w:left="909" w:right="434" w:hanging="364"/>
      </w:pPr>
      <w:r>
        <w:t xml:space="preserve">En las pruebas realizadas por el auditor se comprobó que todas las contraseñas de cuentas capturadas en la auditoría anterior ya se modificaron, y no se están utilizando contraseñas que puedan ser fácilmente capturadas. </w:t>
      </w:r>
    </w:p>
    <w:p w:rsidR="0076001D" w:rsidRDefault="0034129A">
      <w:pPr>
        <w:numPr>
          <w:ilvl w:val="0"/>
          <w:numId w:val="28"/>
        </w:numPr>
        <w:ind w:left="909" w:right="434" w:hanging="364"/>
      </w:pPr>
      <w:r>
        <w:t xml:space="preserve">Se encuentran correctamente configurados las opciones de recuperación de contraseña, con validación de </w:t>
      </w:r>
      <w:proofErr w:type="gramStart"/>
      <w:r>
        <w:t>ultima</w:t>
      </w:r>
      <w:proofErr w:type="gramEnd"/>
      <w:r>
        <w:t xml:space="preserve"> contraseña recordada, teléfono de recuperación y/o correo electrónico alterno para recuperar las contraseñas. En las siguientes imágenes se evidencia que un intento de captura de contraseña por medio de recuperación, se bloqueó correctamente: </w:t>
      </w:r>
    </w:p>
    <w:p w:rsidR="0076001D" w:rsidRDefault="0034129A">
      <w:pPr>
        <w:spacing w:after="0" w:line="259" w:lineRule="auto"/>
        <w:ind w:left="0" w:firstLine="0"/>
        <w:jc w:val="left"/>
      </w:pPr>
      <w:r>
        <w:rPr>
          <w:sz w:val="15"/>
        </w:rPr>
        <w:t xml:space="preserve"> </w:t>
      </w:r>
    </w:p>
    <w:p w:rsidR="0076001D" w:rsidRDefault="0034129A">
      <w:pPr>
        <w:spacing w:after="16" w:line="259" w:lineRule="auto"/>
        <w:ind w:left="924" w:firstLine="0"/>
        <w:jc w:val="left"/>
      </w:pPr>
      <w:r>
        <w:rPr>
          <w:rFonts w:ascii="Calibri" w:eastAsia="Calibri" w:hAnsi="Calibri" w:cs="Calibri"/>
          <w:noProof/>
          <w:lang w:val="es-ES" w:eastAsia="es-ES"/>
        </w:rPr>
        <mc:AlternateContent>
          <mc:Choice Requires="wpg">
            <w:drawing>
              <wp:inline distT="0" distB="0" distL="0" distR="0">
                <wp:extent cx="4982210" cy="3247390"/>
                <wp:effectExtent l="0" t="0" r="0" b="0"/>
                <wp:docPr id="174617" name="Group 174617"/>
                <wp:cNvGraphicFramePr/>
                <a:graphic xmlns:a="http://schemas.openxmlformats.org/drawingml/2006/main">
                  <a:graphicData uri="http://schemas.microsoft.com/office/word/2010/wordprocessingGroup">
                    <wpg:wgp>
                      <wpg:cNvGrpSpPr/>
                      <wpg:grpSpPr>
                        <a:xfrm>
                          <a:off x="0" y="0"/>
                          <a:ext cx="4982210" cy="3247390"/>
                          <a:chOff x="0" y="0"/>
                          <a:chExt cx="4982210" cy="3247390"/>
                        </a:xfrm>
                      </wpg:grpSpPr>
                      <pic:pic xmlns:pic="http://schemas.openxmlformats.org/drawingml/2006/picture">
                        <pic:nvPicPr>
                          <pic:cNvPr id="16680" name="Picture 16680"/>
                          <pic:cNvPicPr/>
                        </pic:nvPicPr>
                        <pic:blipFill>
                          <a:blip r:embed="rId174"/>
                          <a:stretch>
                            <a:fillRect/>
                          </a:stretch>
                        </pic:blipFill>
                        <pic:spPr>
                          <a:xfrm>
                            <a:off x="0" y="0"/>
                            <a:ext cx="2486025" cy="3247390"/>
                          </a:xfrm>
                          <a:prstGeom prst="rect">
                            <a:avLst/>
                          </a:prstGeom>
                        </pic:spPr>
                      </pic:pic>
                      <pic:pic xmlns:pic="http://schemas.openxmlformats.org/drawingml/2006/picture">
                        <pic:nvPicPr>
                          <pic:cNvPr id="16682" name="Picture 16682"/>
                          <pic:cNvPicPr/>
                        </pic:nvPicPr>
                        <pic:blipFill>
                          <a:blip r:embed="rId175"/>
                          <a:stretch>
                            <a:fillRect/>
                          </a:stretch>
                        </pic:blipFill>
                        <pic:spPr>
                          <a:xfrm>
                            <a:off x="2486025" y="1065530"/>
                            <a:ext cx="2496185" cy="1631315"/>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74617" style="width:392.3pt;height:255.7pt;mso-position-horizontal-relative:char;mso-position-vertical-relative:line" coordsize="49822,32473">
                <v:shape id="Picture 16680" style="position:absolute;width:24860;height:32473;left:0;top:0;" filled="f">
                  <v:imagedata r:id="rId176"/>
                </v:shape>
                <v:shape id="Picture 16682" style="position:absolute;width:24961;height:16313;left:24860;top:10655;" filled="f">
                  <v:imagedata r:id="rId177"/>
                </v:shape>
              </v:group>
            </w:pict>
          </mc:Fallback>
        </mc:AlternateContent>
      </w:r>
    </w:p>
    <w:p w:rsidR="0076001D" w:rsidRDefault="0034129A">
      <w:pPr>
        <w:spacing w:after="0" w:line="259" w:lineRule="auto"/>
        <w:ind w:left="0" w:firstLine="0"/>
        <w:jc w:val="left"/>
      </w:pPr>
      <w:r>
        <w:rPr>
          <w:sz w:val="23"/>
        </w:rPr>
        <w:t xml:space="preserve"> </w:t>
      </w:r>
    </w:p>
    <w:p w:rsidR="0076001D" w:rsidRDefault="0034129A">
      <w:pPr>
        <w:spacing w:after="206"/>
        <w:ind w:left="914" w:right="434"/>
      </w:pPr>
      <w:r>
        <w:rPr>
          <w:noProof/>
          <w:lang w:val="es-ES" w:eastAsia="es-ES"/>
        </w:rPr>
        <w:drawing>
          <wp:inline distT="0" distB="0" distL="0" distR="0">
            <wp:extent cx="228600" cy="137160"/>
            <wp:effectExtent l="0" t="0" r="0" b="0"/>
            <wp:docPr id="16686" name="Picture 16686"/>
            <wp:cNvGraphicFramePr/>
            <a:graphic xmlns:a="http://schemas.openxmlformats.org/drawingml/2006/main">
              <a:graphicData uri="http://schemas.openxmlformats.org/drawingml/2006/picture">
                <pic:pic xmlns:pic="http://schemas.openxmlformats.org/drawingml/2006/picture">
                  <pic:nvPicPr>
                    <pic:cNvPr id="16686" name="Picture 16686"/>
                    <pic:cNvPicPr/>
                  </pic:nvPicPr>
                  <pic:blipFill>
                    <a:blip r:embed="rId8"/>
                    <a:stretch>
                      <a:fillRect/>
                    </a:stretch>
                  </pic:blipFill>
                  <pic:spPr>
                    <a:xfrm>
                      <a:off x="0" y="0"/>
                      <a:ext cx="228600" cy="137160"/>
                    </a:xfrm>
                    <a:prstGeom prst="rect">
                      <a:avLst/>
                    </a:prstGeom>
                  </pic:spPr>
                </pic:pic>
              </a:graphicData>
            </a:graphic>
          </wp:inline>
        </w:drawing>
      </w:r>
      <w:r>
        <w:t xml:space="preserve"> Las cuentas y contraseñas de correo electrónico no se encuentran sincronizadas con las cuentas del directorio activo del Idep, lo cual dificulta su administración y no permite que se apliquen todas las apliquen automáticamente todas las políticas de seguridad configuradas para las cuentas de usuarios en el dominio. De acuerdo a las mejores prácticas para facilitar la gestión de cuentas de correos electrónicos se recomienda esta </w:t>
      </w:r>
      <w:r>
        <w:rPr>
          <w:sz w:val="14"/>
        </w:rPr>
        <w:t xml:space="preserve"> </w:t>
      </w:r>
      <w:r>
        <w:t xml:space="preserve">sincronización para facilitar y disminuir el uso de varias contraseñas a los usuarios y para unificar la generación de controles de seguridad. Existen herramientas gratuitas de Google aplicables a G Suite que permiten esta sincronización y que deberían evaluarse para simplificar el proceso, la seguridad y administración de las cuentas de usuario. </w:t>
      </w:r>
    </w:p>
    <w:p w:rsidR="0076001D" w:rsidRDefault="0034129A">
      <w:pPr>
        <w:numPr>
          <w:ilvl w:val="0"/>
          <w:numId w:val="28"/>
        </w:numPr>
        <w:ind w:left="909" w:right="434" w:hanging="364"/>
      </w:pPr>
      <w:r>
        <w:t xml:space="preserve">Ya se encuentra configurado correctamente el cambio periódico de contraseña cada 90 días, para las </w:t>
      </w:r>
      <w:r>
        <w:lastRenderedPageBreak/>
        <w:t xml:space="preserve">cuentas de correo electrónico y la no reutilización de las mismas, como se muestra en la siguiente imagen tomada de la consola de administración de G Suite: </w:t>
      </w:r>
    </w:p>
    <w:p w:rsidR="0076001D" w:rsidRDefault="0034129A">
      <w:pPr>
        <w:spacing w:after="0" w:line="259" w:lineRule="auto"/>
        <w:ind w:left="0" w:firstLine="0"/>
        <w:jc w:val="left"/>
      </w:pPr>
      <w:r>
        <w:t xml:space="preserve"> </w:t>
      </w:r>
    </w:p>
    <w:p w:rsidR="0076001D" w:rsidRDefault="0034129A">
      <w:pPr>
        <w:spacing w:after="10" w:line="259" w:lineRule="auto"/>
        <w:ind w:left="3688" w:firstLine="0"/>
        <w:jc w:val="left"/>
      </w:pPr>
      <w:r>
        <w:rPr>
          <w:noProof/>
          <w:lang w:val="es-ES" w:eastAsia="es-ES"/>
        </w:rPr>
        <w:drawing>
          <wp:inline distT="0" distB="0" distL="0" distR="0">
            <wp:extent cx="1976628" cy="1363980"/>
            <wp:effectExtent l="0" t="0" r="0" b="0"/>
            <wp:docPr id="16777" name="Picture 16777"/>
            <wp:cNvGraphicFramePr/>
            <a:graphic xmlns:a="http://schemas.openxmlformats.org/drawingml/2006/main">
              <a:graphicData uri="http://schemas.openxmlformats.org/drawingml/2006/picture">
                <pic:pic xmlns:pic="http://schemas.openxmlformats.org/drawingml/2006/picture">
                  <pic:nvPicPr>
                    <pic:cNvPr id="16777" name="Picture 16777"/>
                    <pic:cNvPicPr/>
                  </pic:nvPicPr>
                  <pic:blipFill>
                    <a:blip r:embed="rId178"/>
                    <a:stretch>
                      <a:fillRect/>
                    </a:stretch>
                  </pic:blipFill>
                  <pic:spPr>
                    <a:xfrm>
                      <a:off x="0" y="0"/>
                      <a:ext cx="1976628" cy="1363980"/>
                    </a:xfrm>
                    <a:prstGeom prst="rect">
                      <a:avLst/>
                    </a:prstGeom>
                  </pic:spPr>
                </pic:pic>
              </a:graphicData>
            </a:graphic>
          </wp:inline>
        </w:drawing>
      </w:r>
    </w:p>
    <w:p w:rsidR="0076001D" w:rsidRDefault="0034129A">
      <w:pPr>
        <w:spacing w:after="28" w:line="259" w:lineRule="auto"/>
        <w:ind w:left="0" w:firstLine="0"/>
        <w:jc w:val="left"/>
      </w:pPr>
      <w:r>
        <w:rPr>
          <w:sz w:val="24"/>
        </w:rPr>
        <w:t xml:space="preserve"> </w:t>
      </w:r>
    </w:p>
    <w:p w:rsidR="0076001D" w:rsidRDefault="0034129A">
      <w:pPr>
        <w:spacing w:after="0" w:line="259" w:lineRule="auto"/>
        <w:ind w:left="0" w:firstLine="0"/>
        <w:jc w:val="left"/>
      </w:pPr>
      <w:r>
        <w:rPr>
          <w:sz w:val="29"/>
        </w:rPr>
        <w:t xml:space="preserve"> </w:t>
      </w:r>
    </w:p>
    <w:p w:rsidR="0076001D" w:rsidRDefault="0034129A">
      <w:pPr>
        <w:pStyle w:val="Ttulo3"/>
        <w:spacing w:after="28"/>
        <w:ind w:left="538"/>
      </w:pPr>
      <w:r>
        <w:t xml:space="preserve">5.2.3 Seguridad de Internet y PC ´s </w:t>
      </w:r>
    </w:p>
    <w:p w:rsidR="0076001D" w:rsidRDefault="0034129A">
      <w:pPr>
        <w:numPr>
          <w:ilvl w:val="0"/>
          <w:numId w:val="29"/>
        </w:numPr>
        <w:ind w:right="437" w:hanging="368"/>
      </w:pPr>
      <w:r>
        <w:t xml:space="preserve">Se encuentran correctamente configuradas las restricciones de </w:t>
      </w:r>
      <w:proofErr w:type="spellStart"/>
      <w:r>
        <w:t>navegacion</w:t>
      </w:r>
      <w:proofErr w:type="spellEnd"/>
      <w:r>
        <w:t xml:space="preserve"> en el firewall que </w:t>
      </w:r>
      <w:proofErr w:type="spellStart"/>
      <w:r>
        <w:t>ademas</w:t>
      </w:r>
      <w:proofErr w:type="spellEnd"/>
      <w:r>
        <w:t xml:space="preserve"> se encuentran correctamente sincronizadas con la unidad organizativa: </w:t>
      </w:r>
      <w:r>
        <w:rPr>
          <w:i/>
        </w:rPr>
        <w:t>”</w:t>
      </w:r>
      <w:proofErr w:type="spellStart"/>
      <w:r>
        <w:rPr>
          <w:i/>
        </w:rPr>
        <w:t>Navegacion</w:t>
      </w:r>
      <w:proofErr w:type="spellEnd"/>
      <w:r>
        <w:rPr>
          <w:i/>
        </w:rPr>
        <w:t xml:space="preserve">” </w:t>
      </w:r>
      <w:r>
        <w:t xml:space="preserve">en el directorio activo para la adecuada y simplificada </w:t>
      </w:r>
      <w:proofErr w:type="spellStart"/>
      <w:r>
        <w:t>gestion</w:t>
      </w:r>
      <w:proofErr w:type="spellEnd"/>
      <w:r>
        <w:t xml:space="preserve"> de usuarios en las tres grupos de navegación: “</w:t>
      </w:r>
      <w:proofErr w:type="spellStart"/>
      <w:r>
        <w:t>nav_Comunicaciones</w:t>
      </w:r>
      <w:proofErr w:type="spellEnd"/>
      <w:r>
        <w:t>”, “</w:t>
      </w:r>
      <w:proofErr w:type="spellStart"/>
      <w:r>
        <w:t>nav_restringido</w:t>
      </w:r>
      <w:proofErr w:type="spellEnd"/>
      <w:r>
        <w:t>” y “</w:t>
      </w:r>
      <w:proofErr w:type="spellStart"/>
      <w:r>
        <w:t>nav_VIP</w:t>
      </w:r>
      <w:proofErr w:type="spellEnd"/>
      <w:r>
        <w:t xml:space="preserve">”, como se aprecia en la siguiente imagen: </w:t>
      </w:r>
    </w:p>
    <w:p w:rsidR="0076001D" w:rsidRDefault="0034129A">
      <w:pPr>
        <w:spacing w:after="0" w:line="259" w:lineRule="auto"/>
        <w:ind w:left="0" w:firstLine="0"/>
        <w:jc w:val="left"/>
      </w:pPr>
      <w:r>
        <w:rPr>
          <w:sz w:val="14"/>
        </w:rPr>
        <w:t xml:space="preserve"> </w:t>
      </w:r>
    </w:p>
    <w:p w:rsidR="0076001D" w:rsidRDefault="0034129A">
      <w:pPr>
        <w:spacing w:after="200" w:line="259" w:lineRule="auto"/>
        <w:ind w:left="2819" w:firstLine="0"/>
        <w:jc w:val="left"/>
      </w:pPr>
      <w:r>
        <w:rPr>
          <w:noProof/>
          <w:lang w:val="es-ES" w:eastAsia="es-ES"/>
        </w:rPr>
        <w:drawing>
          <wp:inline distT="0" distB="0" distL="0" distR="0">
            <wp:extent cx="3130931" cy="2046605"/>
            <wp:effectExtent l="0" t="0" r="0" b="0"/>
            <wp:docPr id="16779" name="Picture 16779"/>
            <wp:cNvGraphicFramePr/>
            <a:graphic xmlns:a="http://schemas.openxmlformats.org/drawingml/2006/main">
              <a:graphicData uri="http://schemas.openxmlformats.org/drawingml/2006/picture">
                <pic:pic xmlns:pic="http://schemas.openxmlformats.org/drawingml/2006/picture">
                  <pic:nvPicPr>
                    <pic:cNvPr id="16779" name="Picture 16779"/>
                    <pic:cNvPicPr/>
                  </pic:nvPicPr>
                  <pic:blipFill>
                    <a:blip r:embed="rId179"/>
                    <a:stretch>
                      <a:fillRect/>
                    </a:stretch>
                  </pic:blipFill>
                  <pic:spPr>
                    <a:xfrm>
                      <a:off x="0" y="0"/>
                      <a:ext cx="3130931" cy="2046605"/>
                    </a:xfrm>
                    <a:prstGeom prst="rect">
                      <a:avLst/>
                    </a:prstGeom>
                  </pic:spPr>
                </pic:pic>
              </a:graphicData>
            </a:graphic>
          </wp:inline>
        </w:drawing>
      </w:r>
    </w:p>
    <w:p w:rsidR="0076001D" w:rsidRDefault="0034129A">
      <w:pPr>
        <w:numPr>
          <w:ilvl w:val="0"/>
          <w:numId w:val="29"/>
        </w:numPr>
        <w:ind w:right="437" w:hanging="368"/>
      </w:pPr>
      <w:r>
        <w:t xml:space="preserve">Las pruebas realizadas sobre el equipo </w:t>
      </w:r>
      <w:proofErr w:type="spellStart"/>
      <w:r>
        <w:t>asiganado</w:t>
      </w:r>
      <w:proofErr w:type="spellEnd"/>
      <w:r>
        <w:t xml:space="preserve"> a la auditoria con el usuarios creada para las mismas: “</w:t>
      </w:r>
      <w:proofErr w:type="spellStart"/>
      <w:r>
        <w:t>lyvelosa</w:t>
      </w:r>
      <w:proofErr w:type="spellEnd"/>
      <w:r>
        <w:t xml:space="preserve">”, permiten evidenciar que estas restricciones funcionan correctamente en cuanto a la navegación en sitios peligrosos y que se </w:t>
      </w:r>
      <w:proofErr w:type="spellStart"/>
      <w:r>
        <w:t>estan</w:t>
      </w:r>
      <w:proofErr w:type="spellEnd"/>
      <w:r>
        <w:t xml:space="preserve"> bloqueando correctamente las descargas de software </w:t>
      </w:r>
      <w:proofErr w:type="spellStart"/>
      <w:r>
        <w:t>malisioso</w:t>
      </w:r>
      <w:proofErr w:type="spellEnd"/>
      <w:r>
        <w:t xml:space="preserve"> o considerado como virus. </w:t>
      </w:r>
    </w:p>
    <w:p w:rsidR="0076001D" w:rsidRDefault="0034129A">
      <w:pPr>
        <w:spacing w:after="0" w:line="259" w:lineRule="auto"/>
        <w:ind w:left="0" w:firstLine="0"/>
        <w:jc w:val="left"/>
      </w:pPr>
      <w:r>
        <w:rPr>
          <w:sz w:val="27"/>
        </w:rPr>
        <w:t xml:space="preserve"> </w:t>
      </w:r>
    </w:p>
    <w:p w:rsidR="0076001D" w:rsidRDefault="0034129A">
      <w:pPr>
        <w:spacing w:after="33"/>
        <w:ind w:left="914" w:right="440"/>
      </w:pPr>
      <w:r>
        <w:rPr>
          <w:noProof/>
          <w:lang w:val="es-ES" w:eastAsia="es-ES"/>
        </w:rPr>
        <w:drawing>
          <wp:inline distT="0" distB="0" distL="0" distR="0">
            <wp:extent cx="227546" cy="136525"/>
            <wp:effectExtent l="0" t="0" r="0" b="0"/>
            <wp:docPr id="16855" name="Picture 16855"/>
            <wp:cNvGraphicFramePr/>
            <a:graphic xmlns:a="http://schemas.openxmlformats.org/drawingml/2006/main">
              <a:graphicData uri="http://schemas.openxmlformats.org/drawingml/2006/picture">
                <pic:pic xmlns:pic="http://schemas.openxmlformats.org/drawingml/2006/picture">
                  <pic:nvPicPr>
                    <pic:cNvPr id="16855" name="Picture 16855"/>
                    <pic:cNvPicPr/>
                  </pic:nvPicPr>
                  <pic:blipFill>
                    <a:blip r:embed="rId8"/>
                    <a:stretch>
                      <a:fillRect/>
                    </a:stretch>
                  </pic:blipFill>
                  <pic:spPr>
                    <a:xfrm>
                      <a:off x="0" y="0"/>
                      <a:ext cx="227546" cy="136525"/>
                    </a:xfrm>
                    <a:prstGeom prst="rect">
                      <a:avLst/>
                    </a:prstGeom>
                  </pic:spPr>
                </pic:pic>
              </a:graphicData>
            </a:graphic>
          </wp:inline>
        </w:drawing>
      </w:r>
      <w:r>
        <w:t xml:space="preserve"> A pesar de las restricciones para descargas de sitios prohibidos y de software potencialmente peligroso, </w:t>
      </w:r>
      <w:proofErr w:type="spellStart"/>
      <w:r>
        <w:t>aun</w:t>
      </w:r>
      <w:proofErr w:type="spellEnd"/>
      <w:r>
        <w:t xml:space="preserve"> es posible descargar versiones portables de software de descubrimientos desde unidades de almacenamiento en la nube, debido a esto el auditor logra ejecutar el software de escaneo: “</w:t>
      </w:r>
      <w:proofErr w:type="spellStart"/>
      <w:r>
        <w:t>advanced</w:t>
      </w:r>
      <w:proofErr w:type="spellEnd"/>
      <w:r>
        <w:t xml:space="preserve"> </w:t>
      </w:r>
      <w:proofErr w:type="spellStart"/>
      <w:r>
        <w:t>port</w:t>
      </w:r>
      <w:proofErr w:type="spellEnd"/>
      <w:r>
        <w:t xml:space="preserve"> scanner”, para </w:t>
      </w:r>
      <w:proofErr w:type="spellStart"/>
      <w:r>
        <w:t>asi</w:t>
      </w:r>
      <w:proofErr w:type="spellEnd"/>
      <w:r>
        <w:t xml:space="preserve"> tener la información de equipos, y servicios de la entidad. Como se ve en la siguiente imagen: </w:t>
      </w:r>
    </w:p>
    <w:p w:rsidR="0076001D" w:rsidRDefault="0034129A">
      <w:pPr>
        <w:spacing w:after="84" w:line="259" w:lineRule="auto"/>
        <w:ind w:left="0" w:firstLine="0"/>
        <w:jc w:val="left"/>
      </w:pPr>
      <w:r>
        <w:rPr>
          <w:sz w:val="15"/>
        </w:rPr>
        <w:t xml:space="preserve"> </w:t>
      </w:r>
    </w:p>
    <w:p w:rsidR="0076001D" w:rsidRDefault="0034129A">
      <w:pPr>
        <w:spacing w:after="217"/>
        <w:ind w:left="914"/>
      </w:pPr>
      <w:r>
        <w:rPr>
          <w:rFonts w:ascii="Calibri" w:eastAsia="Calibri" w:hAnsi="Calibri" w:cs="Calibri"/>
          <w:noProof/>
          <w:lang w:val="es-ES" w:eastAsia="es-ES"/>
        </w:rPr>
        <w:lastRenderedPageBreak/>
        <mc:AlternateContent>
          <mc:Choice Requires="wpg">
            <w:drawing>
              <wp:inline distT="0" distB="0" distL="0" distR="0">
                <wp:extent cx="5960999" cy="3328035"/>
                <wp:effectExtent l="0" t="0" r="0" b="0"/>
                <wp:docPr id="175197" name="Group 175197"/>
                <wp:cNvGraphicFramePr/>
                <a:graphic xmlns:a="http://schemas.openxmlformats.org/drawingml/2006/main">
                  <a:graphicData uri="http://schemas.microsoft.com/office/word/2010/wordprocessingGroup">
                    <wpg:wgp>
                      <wpg:cNvGrpSpPr/>
                      <wpg:grpSpPr>
                        <a:xfrm>
                          <a:off x="0" y="0"/>
                          <a:ext cx="5960999" cy="3328035"/>
                          <a:chOff x="0" y="0"/>
                          <a:chExt cx="5960999" cy="3328035"/>
                        </a:xfrm>
                      </wpg:grpSpPr>
                      <pic:pic xmlns:pic="http://schemas.openxmlformats.org/drawingml/2006/picture">
                        <pic:nvPicPr>
                          <pic:cNvPr id="16849" name="Picture 16849"/>
                          <pic:cNvPicPr/>
                        </pic:nvPicPr>
                        <pic:blipFill>
                          <a:blip r:embed="rId119"/>
                          <a:stretch>
                            <a:fillRect/>
                          </a:stretch>
                        </pic:blipFill>
                        <pic:spPr>
                          <a:xfrm>
                            <a:off x="0" y="3149600"/>
                            <a:ext cx="177800" cy="178435"/>
                          </a:xfrm>
                          <a:prstGeom prst="rect">
                            <a:avLst/>
                          </a:prstGeom>
                        </pic:spPr>
                      </pic:pic>
                      <pic:pic xmlns:pic="http://schemas.openxmlformats.org/drawingml/2006/picture">
                        <pic:nvPicPr>
                          <pic:cNvPr id="16853" name="Picture 16853"/>
                          <pic:cNvPicPr/>
                        </pic:nvPicPr>
                        <pic:blipFill>
                          <a:blip r:embed="rId180"/>
                          <a:stretch>
                            <a:fillRect/>
                          </a:stretch>
                        </pic:blipFill>
                        <pic:spPr>
                          <a:xfrm>
                            <a:off x="228600" y="0"/>
                            <a:ext cx="5732399" cy="3037840"/>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75197" style="width:469.37pt;height:262.05pt;mso-position-horizontal-relative:char;mso-position-vertical-relative:line" coordsize="59609,33280">
                <v:shape id="Picture 16849" style="position:absolute;width:1778;height:1784;left:0;top:31496;" filled="f">
                  <v:imagedata r:id="rId152"/>
                </v:shape>
                <v:shape id="Picture 16853" style="position:absolute;width:57323;height:30378;left:2286;top:0;" filled="f">
                  <v:imagedata r:id="rId181"/>
                </v:shape>
              </v:group>
            </w:pict>
          </mc:Fallback>
        </mc:AlternateContent>
      </w:r>
      <w:r>
        <w:rPr>
          <w:rFonts w:ascii="Times New Roman" w:eastAsia="Times New Roman" w:hAnsi="Times New Roman" w:cs="Times New Roman"/>
          <w:sz w:val="20"/>
        </w:rPr>
        <w:t xml:space="preserve">  </w:t>
      </w:r>
      <w:r>
        <w:t xml:space="preserve">En el equipo de pruebas asignado al auditor se observa que continúan debidamente configurados el control de cuentas de usuario, la restricción a recursos compartidos. </w:t>
      </w:r>
    </w:p>
    <w:p w:rsidR="0076001D" w:rsidRDefault="0034129A">
      <w:pPr>
        <w:numPr>
          <w:ilvl w:val="0"/>
          <w:numId w:val="29"/>
        </w:numPr>
        <w:spacing w:after="28"/>
        <w:ind w:right="437" w:hanging="368"/>
      </w:pPr>
      <w:r>
        <w:t>Se configuraron en las políticas de dominio las restricciones de acceso en los equipos de usuarios al panel de control, centro de redes y recursos compartidos, restricción de adición y búsqueda de impresoras, protector de pantalla, bloqueo de ejecución de comandos “</w:t>
      </w:r>
      <w:proofErr w:type="spellStart"/>
      <w:r>
        <w:rPr>
          <w:i/>
        </w:rPr>
        <w:t>cmd</w:t>
      </w:r>
      <w:proofErr w:type="spellEnd"/>
      <w:r>
        <w:t xml:space="preserve">”, entre otros recomendados en el informe de auditoría anterior. El correcto funcionamiento de estas políticas se evidencio en las pruebas realizadas en el equipo asignado a la auditora. En la siguiente imagen se muestra la evidencia de la configuración de estos parámetros: </w:t>
      </w:r>
    </w:p>
    <w:p w:rsidR="0076001D" w:rsidRDefault="0034129A">
      <w:pPr>
        <w:spacing w:after="0" w:line="259" w:lineRule="auto"/>
        <w:ind w:left="0" w:right="2356" w:firstLine="0"/>
        <w:jc w:val="left"/>
      </w:pPr>
      <w:r>
        <w:rPr>
          <w:sz w:val="24"/>
        </w:rPr>
        <w:t xml:space="preserve"> </w:t>
      </w:r>
    </w:p>
    <w:p w:rsidR="0076001D" w:rsidRDefault="0034129A">
      <w:pPr>
        <w:spacing w:after="0" w:line="259" w:lineRule="auto"/>
        <w:ind w:left="2741" w:firstLine="0"/>
        <w:jc w:val="left"/>
      </w:pPr>
      <w:r>
        <w:rPr>
          <w:noProof/>
          <w:lang w:val="es-ES" w:eastAsia="es-ES"/>
        </w:rPr>
        <w:lastRenderedPageBreak/>
        <w:drawing>
          <wp:inline distT="0" distB="0" distL="0" distR="0">
            <wp:extent cx="3182493" cy="2724785"/>
            <wp:effectExtent l="0" t="0" r="0" b="0"/>
            <wp:docPr id="16903" name="Picture 16903"/>
            <wp:cNvGraphicFramePr/>
            <a:graphic xmlns:a="http://schemas.openxmlformats.org/drawingml/2006/main">
              <a:graphicData uri="http://schemas.openxmlformats.org/drawingml/2006/picture">
                <pic:pic xmlns:pic="http://schemas.openxmlformats.org/drawingml/2006/picture">
                  <pic:nvPicPr>
                    <pic:cNvPr id="16903" name="Picture 16903"/>
                    <pic:cNvPicPr/>
                  </pic:nvPicPr>
                  <pic:blipFill>
                    <a:blip r:embed="rId182"/>
                    <a:stretch>
                      <a:fillRect/>
                    </a:stretch>
                  </pic:blipFill>
                  <pic:spPr>
                    <a:xfrm>
                      <a:off x="0" y="0"/>
                      <a:ext cx="3182493" cy="2724785"/>
                    </a:xfrm>
                    <a:prstGeom prst="rect">
                      <a:avLst/>
                    </a:prstGeom>
                  </pic:spPr>
                </pic:pic>
              </a:graphicData>
            </a:graphic>
          </wp:inline>
        </w:drawing>
      </w:r>
      <w:r>
        <w:rPr>
          <w:sz w:val="20"/>
        </w:rPr>
        <w:t xml:space="preserve"> </w:t>
      </w:r>
    </w:p>
    <w:p w:rsidR="0076001D" w:rsidRDefault="0034129A">
      <w:pPr>
        <w:spacing w:after="0" w:line="259" w:lineRule="auto"/>
        <w:ind w:left="0" w:firstLine="0"/>
        <w:jc w:val="left"/>
      </w:pPr>
      <w:r>
        <w:rPr>
          <w:sz w:val="25"/>
        </w:rPr>
        <w:t xml:space="preserve"> </w:t>
      </w:r>
    </w:p>
    <w:p w:rsidR="0076001D" w:rsidRDefault="0034129A">
      <w:pPr>
        <w:ind w:left="914" w:right="434"/>
      </w:pPr>
      <w:r>
        <w:rPr>
          <w:noProof/>
          <w:lang w:val="es-ES" w:eastAsia="es-ES"/>
        </w:rPr>
        <w:drawing>
          <wp:inline distT="0" distB="0" distL="0" distR="0">
            <wp:extent cx="227546" cy="136525"/>
            <wp:effectExtent l="0" t="0" r="0" b="0"/>
            <wp:docPr id="16907" name="Picture 16907"/>
            <wp:cNvGraphicFramePr/>
            <a:graphic xmlns:a="http://schemas.openxmlformats.org/drawingml/2006/main">
              <a:graphicData uri="http://schemas.openxmlformats.org/drawingml/2006/picture">
                <pic:pic xmlns:pic="http://schemas.openxmlformats.org/drawingml/2006/picture">
                  <pic:nvPicPr>
                    <pic:cNvPr id="16907" name="Picture 16907"/>
                    <pic:cNvPicPr/>
                  </pic:nvPicPr>
                  <pic:blipFill>
                    <a:blip r:embed="rId8"/>
                    <a:stretch>
                      <a:fillRect/>
                    </a:stretch>
                  </pic:blipFill>
                  <pic:spPr>
                    <a:xfrm>
                      <a:off x="0" y="0"/>
                      <a:ext cx="227546" cy="136525"/>
                    </a:xfrm>
                    <a:prstGeom prst="rect">
                      <a:avLst/>
                    </a:prstGeom>
                  </pic:spPr>
                </pic:pic>
              </a:graphicData>
            </a:graphic>
          </wp:inline>
        </w:drawing>
      </w:r>
      <w:r>
        <w:t xml:space="preserve"> Se debe adicionar a las políticas de dominio del punto anterior, la restricción de ejecución de comandos desde el </w:t>
      </w:r>
      <w:proofErr w:type="spellStart"/>
      <w:r>
        <w:t>PowerShell</w:t>
      </w:r>
      <w:proofErr w:type="spellEnd"/>
      <w:r>
        <w:t xml:space="preserve"> de los equipos de usuario y el acceso al registro de Windows (</w:t>
      </w:r>
      <w:proofErr w:type="spellStart"/>
      <w:r>
        <w:t>Regedit</w:t>
      </w:r>
      <w:proofErr w:type="spellEnd"/>
      <w:r>
        <w:t xml:space="preserve">), ya que estos accesos permiten ejecutar </w:t>
      </w:r>
      <w:r>
        <w:rPr>
          <w:i/>
        </w:rPr>
        <w:t xml:space="preserve">scripts </w:t>
      </w:r>
      <w:r>
        <w:t xml:space="preserve">de descubrimiento o ingresar comandos para activar software espía o malicioso. En la imagen se evidencia la ejecución de comandos del </w:t>
      </w:r>
      <w:proofErr w:type="spellStart"/>
      <w:r>
        <w:t>PowerShell</w:t>
      </w:r>
      <w:proofErr w:type="spellEnd"/>
      <w:r>
        <w:t xml:space="preserve"> para identificar los parámetros de red del equipo asignado a la auditoria: </w:t>
      </w:r>
    </w:p>
    <w:p w:rsidR="0076001D" w:rsidRDefault="0034129A">
      <w:pPr>
        <w:spacing w:after="0" w:line="259" w:lineRule="auto"/>
        <w:ind w:left="0" w:firstLine="0"/>
        <w:jc w:val="left"/>
      </w:pPr>
      <w:r>
        <w:rPr>
          <w:sz w:val="14"/>
        </w:rPr>
        <w:t xml:space="preserve"> </w:t>
      </w:r>
    </w:p>
    <w:p w:rsidR="0076001D" w:rsidRDefault="0034129A">
      <w:pPr>
        <w:spacing w:after="0" w:line="259" w:lineRule="auto"/>
        <w:ind w:left="902" w:firstLine="0"/>
        <w:jc w:val="left"/>
      </w:pPr>
      <w:r>
        <w:rPr>
          <w:noProof/>
          <w:lang w:val="es-ES" w:eastAsia="es-ES"/>
        </w:rPr>
        <w:drawing>
          <wp:inline distT="0" distB="0" distL="0" distR="0">
            <wp:extent cx="5607304" cy="3154045"/>
            <wp:effectExtent l="0" t="0" r="0" b="0"/>
            <wp:docPr id="16905" name="Picture 16905"/>
            <wp:cNvGraphicFramePr/>
            <a:graphic xmlns:a="http://schemas.openxmlformats.org/drawingml/2006/main">
              <a:graphicData uri="http://schemas.openxmlformats.org/drawingml/2006/picture">
                <pic:pic xmlns:pic="http://schemas.openxmlformats.org/drawingml/2006/picture">
                  <pic:nvPicPr>
                    <pic:cNvPr id="16905" name="Picture 16905"/>
                    <pic:cNvPicPr/>
                  </pic:nvPicPr>
                  <pic:blipFill>
                    <a:blip r:embed="rId183"/>
                    <a:stretch>
                      <a:fillRect/>
                    </a:stretch>
                  </pic:blipFill>
                  <pic:spPr>
                    <a:xfrm>
                      <a:off x="0" y="0"/>
                      <a:ext cx="5607304" cy="3154045"/>
                    </a:xfrm>
                    <a:prstGeom prst="rect">
                      <a:avLst/>
                    </a:prstGeom>
                  </pic:spPr>
                </pic:pic>
              </a:graphicData>
            </a:graphic>
          </wp:inline>
        </w:drawing>
      </w:r>
    </w:p>
    <w:p w:rsidR="0076001D" w:rsidRDefault="0034129A">
      <w:pPr>
        <w:spacing w:after="0" w:line="259" w:lineRule="auto"/>
        <w:ind w:left="0" w:right="9251" w:firstLine="0"/>
        <w:jc w:val="left"/>
      </w:pPr>
      <w:r>
        <w:rPr>
          <w:sz w:val="24"/>
        </w:rPr>
        <w:t xml:space="preserve"> </w:t>
      </w:r>
    </w:p>
    <w:p w:rsidR="0076001D" w:rsidRDefault="0034129A">
      <w:pPr>
        <w:ind w:left="914" w:right="435"/>
      </w:pPr>
      <w:r>
        <w:rPr>
          <w:noProof/>
          <w:lang w:val="es-ES" w:eastAsia="es-ES"/>
        </w:rPr>
        <w:drawing>
          <wp:inline distT="0" distB="0" distL="0" distR="0">
            <wp:extent cx="200660" cy="202171"/>
            <wp:effectExtent l="0" t="0" r="0" b="0"/>
            <wp:docPr id="17057" name="Picture 17057"/>
            <wp:cNvGraphicFramePr/>
            <a:graphic xmlns:a="http://schemas.openxmlformats.org/drawingml/2006/main">
              <a:graphicData uri="http://schemas.openxmlformats.org/drawingml/2006/picture">
                <pic:pic xmlns:pic="http://schemas.openxmlformats.org/drawingml/2006/picture">
                  <pic:nvPicPr>
                    <pic:cNvPr id="17057" name="Picture 17057"/>
                    <pic:cNvPicPr/>
                  </pic:nvPicPr>
                  <pic:blipFill>
                    <a:blip r:embed="rId60"/>
                    <a:stretch>
                      <a:fillRect/>
                    </a:stretch>
                  </pic:blipFill>
                  <pic:spPr>
                    <a:xfrm>
                      <a:off x="0" y="0"/>
                      <a:ext cx="200660" cy="202171"/>
                    </a:xfrm>
                    <a:prstGeom prst="rect">
                      <a:avLst/>
                    </a:prstGeom>
                  </pic:spPr>
                </pic:pic>
              </a:graphicData>
            </a:graphic>
          </wp:inline>
        </w:drawing>
      </w:r>
      <w:r>
        <w:t xml:space="preserve">Como se menciona en la revisión del antivirus aún no se encuentran bloqueados y configurados los permisos de conexión de dispositivos de almacenamiento externo (USB, discos duros externos, CD, etc.), que además de ser origen de trasmisión de virus permiten ejecutar </w:t>
      </w:r>
      <w:r>
        <w:lastRenderedPageBreak/>
        <w:t xml:space="preserve">programas para cambio de contraseñas de administradores de equipos locales para evadir los controles de seguridad del firewall y antivirus. </w:t>
      </w:r>
    </w:p>
    <w:p w:rsidR="0076001D" w:rsidRDefault="0034129A">
      <w:pPr>
        <w:spacing w:after="177" w:line="259" w:lineRule="auto"/>
        <w:ind w:left="0" w:firstLine="0"/>
        <w:jc w:val="left"/>
      </w:pPr>
      <w:r>
        <w:rPr>
          <w:sz w:val="12"/>
        </w:rPr>
        <w:t xml:space="preserve"> </w:t>
      </w:r>
    </w:p>
    <w:p w:rsidR="0076001D" w:rsidRDefault="0034129A">
      <w:pPr>
        <w:pStyle w:val="Ttulo3"/>
        <w:spacing w:after="26"/>
        <w:ind w:left="538"/>
      </w:pPr>
      <w:r>
        <w:t xml:space="preserve">5.2.4 Seguridad de Archivos Fuentes y Documentos </w:t>
      </w:r>
    </w:p>
    <w:p w:rsidR="0076001D" w:rsidRDefault="0034129A">
      <w:pPr>
        <w:spacing w:after="0" w:line="259" w:lineRule="auto"/>
        <w:ind w:left="0" w:firstLine="0"/>
        <w:jc w:val="left"/>
      </w:pPr>
      <w:r>
        <w:rPr>
          <w:b/>
          <w:sz w:val="27"/>
        </w:rPr>
        <w:t xml:space="preserve"> </w:t>
      </w:r>
    </w:p>
    <w:p w:rsidR="0076001D" w:rsidRDefault="0034129A">
      <w:pPr>
        <w:numPr>
          <w:ilvl w:val="0"/>
          <w:numId w:val="30"/>
        </w:numPr>
        <w:ind w:left="834" w:right="219"/>
      </w:pPr>
      <w:r>
        <w:t xml:space="preserve">El esquema utilizado para el alojamiento y respaldo de los documentos de usuario final es el uso de carpetas compartidas en la unidad TRD es el adecuado, se generó y publico el instructivo: IN-GT-12-02 INSTRUCTIVO PARA EL ALMACENAMIENTO DE LA </w:t>
      </w:r>
    </w:p>
    <w:p w:rsidR="0076001D" w:rsidRDefault="0034129A">
      <w:pPr>
        <w:ind w:left="826" w:right="442" w:firstLine="0"/>
      </w:pPr>
      <w:r>
        <w:t xml:space="preserve">INFORMACIÓN EN CARPETAS COMPARTIDAS, en el cual se detallan claramente todas las condiciones y reglas para el correcto almacenamiento y clasificación de la información que generan los usuarios de acuerdo a la tabla de retención documental definida para la entidad. </w:t>
      </w:r>
    </w:p>
    <w:p w:rsidR="0076001D" w:rsidRDefault="0034129A">
      <w:pPr>
        <w:spacing w:after="0" w:line="259" w:lineRule="auto"/>
        <w:ind w:left="0" w:firstLine="0"/>
        <w:jc w:val="left"/>
      </w:pPr>
      <w:r>
        <w:rPr>
          <w:sz w:val="21"/>
        </w:rPr>
        <w:t xml:space="preserve"> </w:t>
      </w:r>
    </w:p>
    <w:p w:rsidR="0076001D" w:rsidRDefault="0034129A">
      <w:pPr>
        <w:numPr>
          <w:ilvl w:val="0"/>
          <w:numId w:val="30"/>
        </w:numPr>
        <w:spacing w:after="114"/>
        <w:ind w:left="834" w:right="219"/>
      </w:pPr>
      <w:r>
        <w:t xml:space="preserve">El auditor pudo evidenciar que los recursos compartidos de la red del IDEP continúan debidamente protegidos por contraseña. </w:t>
      </w:r>
    </w:p>
    <w:p w:rsidR="0076001D" w:rsidRDefault="0034129A">
      <w:pPr>
        <w:spacing w:after="0" w:line="259" w:lineRule="auto"/>
        <w:ind w:left="0" w:right="9284" w:firstLine="0"/>
        <w:jc w:val="left"/>
      </w:pPr>
      <w:r>
        <w:rPr>
          <w:sz w:val="35"/>
        </w:rPr>
        <w:t xml:space="preserve"> </w:t>
      </w:r>
    </w:p>
    <w:p w:rsidR="0076001D" w:rsidRDefault="0034129A">
      <w:pPr>
        <w:ind w:left="835" w:right="433"/>
      </w:pPr>
      <w:r>
        <w:rPr>
          <w:noProof/>
          <w:lang w:val="es-ES" w:eastAsia="es-ES"/>
        </w:rPr>
        <w:drawing>
          <wp:inline distT="0" distB="0" distL="0" distR="0">
            <wp:extent cx="227546" cy="136525"/>
            <wp:effectExtent l="0" t="0" r="0" b="0"/>
            <wp:docPr id="17059" name="Picture 17059"/>
            <wp:cNvGraphicFramePr/>
            <a:graphic xmlns:a="http://schemas.openxmlformats.org/drawingml/2006/main">
              <a:graphicData uri="http://schemas.openxmlformats.org/drawingml/2006/picture">
                <pic:pic xmlns:pic="http://schemas.openxmlformats.org/drawingml/2006/picture">
                  <pic:nvPicPr>
                    <pic:cNvPr id="17059" name="Picture 17059"/>
                    <pic:cNvPicPr/>
                  </pic:nvPicPr>
                  <pic:blipFill>
                    <a:blip r:embed="rId8"/>
                    <a:stretch>
                      <a:fillRect/>
                    </a:stretch>
                  </pic:blipFill>
                  <pic:spPr>
                    <a:xfrm>
                      <a:off x="0" y="0"/>
                      <a:ext cx="227546" cy="136525"/>
                    </a:xfrm>
                    <a:prstGeom prst="rect">
                      <a:avLst/>
                    </a:prstGeom>
                  </pic:spPr>
                </pic:pic>
              </a:graphicData>
            </a:graphic>
          </wp:inline>
        </w:drawing>
      </w:r>
      <w:r>
        <w:t xml:space="preserve"> No se han adoptado métodos, ni instructivos de protección de archivos, documentos  o unidades de almacenamiento mediante el uso de protección de contraseñas o encriptación de medios o archivos que permitan garantizar la confidencialidad de la información así clasificada en caso de pérdida de unidades de almacenamiento o equipos portátiles. </w:t>
      </w:r>
    </w:p>
    <w:p w:rsidR="0076001D" w:rsidRDefault="0034129A">
      <w:pPr>
        <w:spacing w:after="0" w:line="259" w:lineRule="auto"/>
        <w:ind w:left="0" w:firstLine="0"/>
        <w:jc w:val="left"/>
      </w:pPr>
      <w:r>
        <w:rPr>
          <w:sz w:val="24"/>
        </w:rPr>
        <w:t xml:space="preserve"> </w:t>
      </w:r>
    </w:p>
    <w:p w:rsidR="0076001D" w:rsidRDefault="0034129A">
      <w:pPr>
        <w:spacing w:after="0" w:line="259" w:lineRule="auto"/>
        <w:ind w:left="0" w:firstLine="0"/>
        <w:jc w:val="left"/>
      </w:pPr>
      <w:r>
        <w:t xml:space="preserve"> </w:t>
      </w:r>
    </w:p>
    <w:p w:rsidR="0076001D" w:rsidRDefault="0034129A">
      <w:pPr>
        <w:pStyle w:val="Ttulo3"/>
        <w:spacing w:after="29"/>
        <w:ind w:left="538"/>
      </w:pPr>
      <w:r>
        <w:t xml:space="preserve">5.2.5 Gestión de accesos </w:t>
      </w:r>
    </w:p>
    <w:p w:rsidR="0076001D" w:rsidRDefault="0034129A">
      <w:pPr>
        <w:numPr>
          <w:ilvl w:val="0"/>
          <w:numId w:val="31"/>
        </w:numPr>
        <w:ind w:left="971" w:right="356" w:hanging="426"/>
      </w:pPr>
      <w:r>
        <w:t xml:space="preserve">Se encuentra correctamente publicados y socializados los instructivos para la gestión de cuentas de acceso, administración y cambios de contraseña para los sistemas GOOBI y </w:t>
      </w:r>
    </w:p>
    <w:p w:rsidR="0076001D" w:rsidRDefault="0034129A">
      <w:pPr>
        <w:ind w:left="900" w:right="433" w:firstLine="0"/>
      </w:pPr>
      <w:r>
        <w:t xml:space="preserve">Humano en los manuales: MN-GT-12-12 Manual soporte 1 nivel GOOBI V1, MN-GT-12- 09 Manual de administración soporte HUMANO V1 y los instructivos: IN-GT-12-06 - instructivo para cambio de contraseña sistema Humano y IN-GT-12-05 Instructivo Para Cambio De Contraseña De Ingreso al Sistema de Información GOOBI. En donde se describe detalladamente los procedimientos para la gestión de usuarios y el cambio de contraseña. </w:t>
      </w:r>
    </w:p>
    <w:p w:rsidR="0076001D" w:rsidRDefault="0034129A">
      <w:pPr>
        <w:spacing w:after="0" w:line="259" w:lineRule="auto"/>
        <w:ind w:left="0" w:right="9287" w:firstLine="0"/>
        <w:jc w:val="left"/>
      </w:pPr>
      <w:r>
        <w:t xml:space="preserve"> </w:t>
      </w:r>
    </w:p>
    <w:p w:rsidR="0076001D" w:rsidRDefault="0034129A">
      <w:pPr>
        <w:numPr>
          <w:ilvl w:val="0"/>
          <w:numId w:val="31"/>
        </w:numPr>
        <w:ind w:left="971" w:right="356" w:hanging="426"/>
      </w:pPr>
      <w:r>
        <w:t xml:space="preserve">También se describen correctamente en los documentos mencionados las funcionalidades para la asignación de usuarios por perfiles, con el fin de segregar los privilegios sobre los sistemas de información y la gestión de los mismos. </w:t>
      </w:r>
    </w:p>
    <w:p w:rsidR="0076001D" w:rsidRDefault="0034129A">
      <w:pPr>
        <w:spacing w:after="0" w:line="259" w:lineRule="auto"/>
        <w:ind w:left="1470" w:firstLine="0"/>
        <w:jc w:val="center"/>
      </w:pPr>
      <w:r>
        <w:rPr>
          <w:sz w:val="20"/>
        </w:rPr>
        <w:t xml:space="preserve"> </w:t>
      </w:r>
    </w:p>
    <w:p w:rsidR="0076001D" w:rsidRDefault="0034129A">
      <w:pPr>
        <w:spacing w:after="3" w:line="259" w:lineRule="auto"/>
        <w:ind w:left="0" w:firstLine="0"/>
        <w:jc w:val="left"/>
      </w:pPr>
      <w:r>
        <w:rPr>
          <w:sz w:val="21"/>
        </w:rPr>
        <w:t xml:space="preserve"> </w:t>
      </w:r>
    </w:p>
    <w:p w:rsidR="0076001D" w:rsidRDefault="0034129A">
      <w:pPr>
        <w:numPr>
          <w:ilvl w:val="0"/>
          <w:numId w:val="31"/>
        </w:numPr>
        <w:spacing w:after="212"/>
        <w:ind w:left="971" w:right="356" w:hanging="426"/>
      </w:pPr>
      <w:r>
        <w:t xml:space="preserve">Se </w:t>
      </w:r>
      <w:proofErr w:type="spellStart"/>
      <w:r>
        <w:t>implemento</w:t>
      </w:r>
      <w:proofErr w:type="spellEnd"/>
      <w:r>
        <w:t xml:space="preserve"> de forma adecuada el formato de Compromiso de cumplimiento de las políticas TIC del Idep, en el cual los usuarios se comprometen al buen uso y manejo de sus cuentas de usuario y el adecuado control de sus contraseñas. </w:t>
      </w:r>
    </w:p>
    <w:p w:rsidR="0076001D" w:rsidRDefault="0034129A">
      <w:pPr>
        <w:numPr>
          <w:ilvl w:val="0"/>
          <w:numId w:val="31"/>
        </w:numPr>
        <w:spacing w:after="218"/>
        <w:ind w:left="971" w:right="356" w:hanging="426"/>
      </w:pPr>
      <w:r>
        <w:t xml:space="preserve">Ya se encuentran implementadas las políticas de cambio periódico de contraseña para el correo electrónico, cuentas de dominio, e instructivos en el sistema Humano y </w:t>
      </w:r>
      <w:proofErr w:type="spellStart"/>
      <w:r>
        <w:t>Goobi</w:t>
      </w:r>
      <w:proofErr w:type="spellEnd"/>
      <w:r>
        <w:t xml:space="preserve">. </w:t>
      </w:r>
    </w:p>
    <w:p w:rsidR="0076001D" w:rsidRDefault="0034129A">
      <w:pPr>
        <w:numPr>
          <w:ilvl w:val="0"/>
          <w:numId w:val="31"/>
        </w:numPr>
        <w:ind w:left="971" w:right="356" w:hanging="426"/>
      </w:pPr>
      <w:r>
        <w:t xml:space="preserve">Si bien </w:t>
      </w:r>
      <w:proofErr w:type="spellStart"/>
      <w:r>
        <w:t>aun</w:t>
      </w:r>
      <w:proofErr w:type="spellEnd"/>
      <w:r>
        <w:t xml:space="preserve"> en algunos correos de creación de cuentas de usuarios se siguen exponiendo contraseñas, en las pruebas realizadas se evidencia </w:t>
      </w:r>
      <w:r>
        <w:lastRenderedPageBreak/>
        <w:t xml:space="preserve">que se realiza el cambio de contraseña asignada ya que el auditor no logro acceder con la contraseña expuesta en el correo, como se ve en la siguiente imagen: </w:t>
      </w:r>
    </w:p>
    <w:p w:rsidR="0076001D" w:rsidRDefault="0034129A">
      <w:pPr>
        <w:spacing w:after="0" w:line="259" w:lineRule="auto"/>
        <w:ind w:left="0" w:firstLine="0"/>
        <w:jc w:val="left"/>
      </w:pPr>
      <w:r>
        <w:rPr>
          <w:rFonts w:ascii="Calibri" w:eastAsia="Calibri" w:hAnsi="Calibri" w:cs="Calibri"/>
          <w:noProof/>
          <w:lang w:val="es-ES" w:eastAsia="es-ES"/>
        </w:rPr>
        <mc:AlternateContent>
          <mc:Choice Requires="wpg">
            <w:drawing>
              <wp:anchor distT="0" distB="0" distL="114300" distR="114300" simplePos="0" relativeHeight="251680768" behindDoc="0" locked="0" layoutInCell="1" allowOverlap="1">
                <wp:simplePos x="0" y="0"/>
                <wp:positionH relativeFrom="page">
                  <wp:posOffset>736092</wp:posOffset>
                </wp:positionH>
                <wp:positionV relativeFrom="page">
                  <wp:posOffset>-9508</wp:posOffset>
                </wp:positionV>
                <wp:extent cx="3387" cy="13594"/>
                <wp:effectExtent l="0" t="0" r="0" b="0"/>
                <wp:wrapTopAndBottom/>
                <wp:docPr id="175354" name="Group 175354"/>
                <wp:cNvGraphicFramePr/>
                <a:graphic xmlns:a="http://schemas.openxmlformats.org/drawingml/2006/main">
                  <a:graphicData uri="http://schemas.microsoft.com/office/word/2010/wordprocessingGroup">
                    <wpg:wgp>
                      <wpg:cNvGrpSpPr/>
                      <wpg:grpSpPr>
                        <a:xfrm>
                          <a:off x="0" y="0"/>
                          <a:ext cx="3387" cy="13594"/>
                          <a:chOff x="0" y="0"/>
                          <a:chExt cx="3387" cy="13594"/>
                        </a:xfrm>
                      </wpg:grpSpPr>
                      <wps:wsp>
                        <wps:cNvPr id="17097" name="Rectangle 17097"/>
                        <wps:cNvSpPr/>
                        <wps:spPr>
                          <a:xfrm>
                            <a:off x="0" y="0"/>
                            <a:ext cx="4505" cy="18080"/>
                          </a:xfrm>
                          <a:prstGeom prst="rect">
                            <a:avLst/>
                          </a:prstGeom>
                          <a:ln>
                            <a:noFill/>
                          </a:ln>
                        </wps:spPr>
                        <wps:txbx>
                          <w:txbxContent>
                            <w:p w:rsidR="0076001D" w:rsidRDefault="0034129A">
                              <w:pPr>
                                <w:spacing w:after="160" w:line="259" w:lineRule="auto"/>
                                <w:ind w:left="0" w:firstLine="0"/>
                                <w:jc w:val="left"/>
                              </w:pPr>
                              <w:r>
                                <w:rPr>
                                  <w:sz w:val="2"/>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cx="http://schemas.microsoft.com/office/drawing/2014/chartex">
            <w:pict>
              <v:group id="Group 175354" style="width:0.26672pt;height:1.07037pt;position:absolute;mso-position-horizontal-relative:page;mso-position-horizontal:absolute;margin-left:57.96pt;mso-position-vertical-relative:page;margin-top:-0.748779pt;" coordsize="33,135">
                <v:rect id="Rectangle 17097" style="position:absolute;width:45;height:180;left:0;top:0;" filled="f" stroked="f">
                  <v:textbox inset="0,0,0,0">
                    <w:txbxContent>
                      <w:p>
                        <w:pPr>
                          <w:spacing w:before="0" w:after="160" w:line="259" w:lineRule="auto"/>
                          <w:ind w:left="0" w:firstLine="0"/>
                          <w:jc w:val="left"/>
                        </w:pPr>
                        <w:r>
                          <w:rPr>
                            <w:sz w:val="2"/>
                          </w:rPr>
                          <w:t xml:space="preserve"> </w:t>
                        </w:r>
                      </w:p>
                    </w:txbxContent>
                  </v:textbox>
                </v:rect>
                <w10:wrap type="topAndBottom"/>
              </v:group>
            </w:pict>
          </mc:Fallback>
        </mc:AlternateContent>
      </w:r>
      <w:r>
        <w:rPr>
          <w:sz w:val="14"/>
        </w:rPr>
        <w:t xml:space="preserve"> </w:t>
      </w:r>
    </w:p>
    <w:p w:rsidR="0076001D" w:rsidRDefault="0034129A">
      <w:pPr>
        <w:spacing w:after="10" w:line="259" w:lineRule="auto"/>
        <w:ind w:left="902" w:firstLine="0"/>
        <w:jc w:val="left"/>
      </w:pPr>
      <w:r>
        <w:rPr>
          <w:noProof/>
          <w:lang w:val="es-ES" w:eastAsia="es-ES"/>
        </w:rPr>
        <w:drawing>
          <wp:inline distT="0" distB="0" distL="0" distR="0">
            <wp:extent cx="5296789" cy="3012440"/>
            <wp:effectExtent l="0" t="0" r="0" b="0"/>
            <wp:docPr id="17145" name="Picture 17145"/>
            <wp:cNvGraphicFramePr/>
            <a:graphic xmlns:a="http://schemas.openxmlformats.org/drawingml/2006/main">
              <a:graphicData uri="http://schemas.openxmlformats.org/drawingml/2006/picture">
                <pic:pic xmlns:pic="http://schemas.openxmlformats.org/drawingml/2006/picture">
                  <pic:nvPicPr>
                    <pic:cNvPr id="17145" name="Picture 17145"/>
                    <pic:cNvPicPr/>
                  </pic:nvPicPr>
                  <pic:blipFill>
                    <a:blip r:embed="rId184"/>
                    <a:stretch>
                      <a:fillRect/>
                    </a:stretch>
                  </pic:blipFill>
                  <pic:spPr>
                    <a:xfrm>
                      <a:off x="0" y="0"/>
                      <a:ext cx="5296789" cy="3012440"/>
                    </a:xfrm>
                    <a:prstGeom prst="rect">
                      <a:avLst/>
                    </a:prstGeom>
                  </pic:spPr>
                </pic:pic>
              </a:graphicData>
            </a:graphic>
          </wp:inline>
        </w:drawing>
      </w:r>
    </w:p>
    <w:p w:rsidR="0076001D" w:rsidRDefault="0034129A">
      <w:pPr>
        <w:spacing w:after="0" w:line="259" w:lineRule="auto"/>
        <w:ind w:left="0" w:right="9207" w:firstLine="0"/>
        <w:jc w:val="left"/>
      </w:pPr>
      <w:r>
        <w:rPr>
          <w:sz w:val="33"/>
        </w:rPr>
        <w:t xml:space="preserve"> </w:t>
      </w:r>
    </w:p>
    <w:p w:rsidR="0076001D" w:rsidRDefault="0034129A">
      <w:pPr>
        <w:ind w:left="914" w:right="436"/>
      </w:pPr>
      <w:r>
        <w:rPr>
          <w:noProof/>
          <w:lang w:val="es-ES" w:eastAsia="es-ES"/>
        </w:rPr>
        <w:drawing>
          <wp:inline distT="0" distB="0" distL="0" distR="0">
            <wp:extent cx="228600" cy="137160"/>
            <wp:effectExtent l="0" t="0" r="0" b="0"/>
            <wp:docPr id="17149" name="Picture 17149"/>
            <wp:cNvGraphicFramePr/>
            <a:graphic xmlns:a="http://schemas.openxmlformats.org/drawingml/2006/main">
              <a:graphicData uri="http://schemas.openxmlformats.org/drawingml/2006/picture">
                <pic:pic xmlns:pic="http://schemas.openxmlformats.org/drawingml/2006/picture">
                  <pic:nvPicPr>
                    <pic:cNvPr id="17149" name="Picture 17149"/>
                    <pic:cNvPicPr/>
                  </pic:nvPicPr>
                  <pic:blipFill>
                    <a:blip r:embed="rId8"/>
                    <a:stretch>
                      <a:fillRect/>
                    </a:stretch>
                  </pic:blipFill>
                  <pic:spPr>
                    <a:xfrm>
                      <a:off x="0" y="0"/>
                      <a:ext cx="228600" cy="137160"/>
                    </a:xfrm>
                    <a:prstGeom prst="rect">
                      <a:avLst/>
                    </a:prstGeom>
                  </pic:spPr>
                </pic:pic>
              </a:graphicData>
            </a:graphic>
          </wp:inline>
        </w:drawing>
      </w:r>
      <w:r>
        <w:t xml:space="preserve"> Para los servicios de página web y </w:t>
      </w:r>
      <w:proofErr w:type="spellStart"/>
      <w:r>
        <w:t>micrositios</w:t>
      </w:r>
      <w:proofErr w:type="spellEnd"/>
      <w:r>
        <w:t xml:space="preserve">, si bien permiten adecuadamente el cambio de contraseña y perfilamiento de usuarios, se está esperando la actualización de </w:t>
      </w:r>
      <w:proofErr w:type="spellStart"/>
      <w:r>
        <w:t>Govimentum</w:t>
      </w:r>
      <w:proofErr w:type="spellEnd"/>
      <w:r>
        <w:t xml:space="preserve">, para implementación del cambio periódico obligatorio de contraseñas. </w:t>
      </w:r>
    </w:p>
    <w:p w:rsidR="0076001D" w:rsidRDefault="0034129A">
      <w:pPr>
        <w:spacing w:after="0" w:line="259" w:lineRule="auto"/>
        <w:ind w:left="0" w:firstLine="0"/>
        <w:jc w:val="left"/>
      </w:pPr>
      <w:r>
        <w:rPr>
          <w:sz w:val="24"/>
        </w:rPr>
        <w:t xml:space="preserve"> </w:t>
      </w:r>
    </w:p>
    <w:p w:rsidR="0076001D" w:rsidRDefault="0034129A">
      <w:pPr>
        <w:spacing w:after="0" w:line="259" w:lineRule="auto"/>
        <w:ind w:left="542" w:firstLine="0"/>
        <w:jc w:val="left"/>
      </w:pPr>
      <w:r>
        <w:rPr>
          <w:noProof/>
          <w:lang w:val="es-ES" w:eastAsia="es-ES"/>
        </w:rPr>
        <w:drawing>
          <wp:inline distT="0" distB="0" distL="0" distR="0">
            <wp:extent cx="227965" cy="136779"/>
            <wp:effectExtent l="0" t="0" r="0" b="0"/>
            <wp:docPr id="17147" name="Picture 17147"/>
            <wp:cNvGraphicFramePr/>
            <a:graphic xmlns:a="http://schemas.openxmlformats.org/drawingml/2006/main">
              <a:graphicData uri="http://schemas.openxmlformats.org/drawingml/2006/picture">
                <pic:pic xmlns:pic="http://schemas.openxmlformats.org/drawingml/2006/picture">
                  <pic:nvPicPr>
                    <pic:cNvPr id="17147" name="Picture 17147"/>
                    <pic:cNvPicPr/>
                  </pic:nvPicPr>
                  <pic:blipFill>
                    <a:blip r:embed="rId8"/>
                    <a:stretch>
                      <a:fillRect/>
                    </a:stretch>
                  </pic:blipFill>
                  <pic:spPr>
                    <a:xfrm>
                      <a:off x="0" y="0"/>
                      <a:ext cx="227965" cy="136779"/>
                    </a:xfrm>
                    <a:prstGeom prst="rect">
                      <a:avLst/>
                    </a:prstGeom>
                  </pic:spPr>
                </pic:pic>
              </a:graphicData>
            </a:graphic>
          </wp:inline>
        </w:drawing>
      </w:r>
    </w:p>
    <w:p w:rsidR="0076001D" w:rsidRDefault="0034129A">
      <w:pPr>
        <w:spacing w:after="15" w:line="259" w:lineRule="auto"/>
        <w:ind w:left="0" w:firstLine="0"/>
        <w:jc w:val="left"/>
      </w:pPr>
      <w:r>
        <w:rPr>
          <w:sz w:val="20"/>
        </w:rPr>
        <w:t xml:space="preserve"> </w:t>
      </w:r>
    </w:p>
    <w:p w:rsidR="0076001D" w:rsidRDefault="0034129A">
      <w:pPr>
        <w:numPr>
          <w:ilvl w:val="0"/>
          <w:numId w:val="31"/>
        </w:numPr>
        <w:spacing w:after="104"/>
        <w:ind w:left="971" w:right="356" w:hanging="426"/>
      </w:pPr>
      <w:r>
        <w:t xml:space="preserve">Las directivas de contraseña en el dominio se encuentran bien configuradas en cuanto a la complejidad y longitud. </w:t>
      </w:r>
    </w:p>
    <w:p w:rsidR="0076001D" w:rsidRDefault="0034129A">
      <w:pPr>
        <w:spacing w:after="0" w:line="259" w:lineRule="auto"/>
        <w:ind w:left="0" w:right="9284" w:firstLine="0"/>
        <w:jc w:val="left"/>
      </w:pPr>
      <w:r>
        <w:rPr>
          <w:sz w:val="34"/>
        </w:rPr>
        <w:t xml:space="preserve"> </w:t>
      </w:r>
    </w:p>
    <w:p w:rsidR="0076001D" w:rsidRDefault="0034129A">
      <w:pPr>
        <w:spacing w:after="0" w:line="259" w:lineRule="auto"/>
        <w:ind w:left="466" w:firstLine="0"/>
        <w:jc w:val="left"/>
      </w:pPr>
      <w:r>
        <w:rPr>
          <w:noProof/>
          <w:lang w:val="es-ES" w:eastAsia="es-ES"/>
        </w:rPr>
        <w:drawing>
          <wp:inline distT="0" distB="0" distL="0" distR="0">
            <wp:extent cx="227546" cy="136525"/>
            <wp:effectExtent l="0" t="0" r="0" b="0"/>
            <wp:docPr id="17323" name="Picture 17323"/>
            <wp:cNvGraphicFramePr/>
            <a:graphic xmlns:a="http://schemas.openxmlformats.org/drawingml/2006/main">
              <a:graphicData uri="http://schemas.openxmlformats.org/drawingml/2006/picture">
                <pic:pic xmlns:pic="http://schemas.openxmlformats.org/drawingml/2006/picture">
                  <pic:nvPicPr>
                    <pic:cNvPr id="17323" name="Picture 17323"/>
                    <pic:cNvPicPr/>
                  </pic:nvPicPr>
                  <pic:blipFill>
                    <a:blip r:embed="rId8"/>
                    <a:stretch>
                      <a:fillRect/>
                    </a:stretch>
                  </pic:blipFill>
                  <pic:spPr>
                    <a:xfrm>
                      <a:off x="0" y="0"/>
                      <a:ext cx="227546" cy="136525"/>
                    </a:xfrm>
                    <a:prstGeom prst="rect">
                      <a:avLst/>
                    </a:prstGeom>
                  </pic:spPr>
                </pic:pic>
              </a:graphicData>
            </a:graphic>
          </wp:inline>
        </w:drawing>
      </w:r>
    </w:p>
    <w:p w:rsidR="0076001D" w:rsidRDefault="0034129A">
      <w:pPr>
        <w:ind w:left="545" w:right="433" w:firstLine="422"/>
      </w:pPr>
      <w:r>
        <w:t xml:space="preserve">La vigencia máxima de la contraseña se aumentó a 210, (90 días en la auditoria anterior), lo cual es un tiempo excesivo ya que el tiempo promedio de ataques de fuerza bruta a contraseñas de Windows es de 90 días. Y aún no se ha configurado el umbral de bloqueo de cuentas por intentos fallidos como se aprecia en la siguiente imagen tomada del informe de políticas de seguridad del dominio: </w:t>
      </w:r>
    </w:p>
    <w:p w:rsidR="0076001D" w:rsidRDefault="0034129A">
      <w:pPr>
        <w:spacing w:after="0" w:line="259" w:lineRule="auto"/>
        <w:ind w:left="0" w:firstLine="0"/>
        <w:jc w:val="left"/>
      </w:pPr>
      <w:r>
        <w:rPr>
          <w:sz w:val="17"/>
        </w:rPr>
        <w:t xml:space="preserve"> </w:t>
      </w:r>
    </w:p>
    <w:p w:rsidR="0076001D" w:rsidRDefault="0034129A">
      <w:pPr>
        <w:spacing w:after="9" w:line="259" w:lineRule="auto"/>
        <w:ind w:left="1564" w:firstLine="0"/>
        <w:jc w:val="left"/>
      </w:pPr>
      <w:r>
        <w:rPr>
          <w:noProof/>
          <w:lang w:val="es-ES" w:eastAsia="es-ES"/>
        </w:rPr>
        <w:lastRenderedPageBreak/>
        <w:drawing>
          <wp:inline distT="0" distB="0" distL="0" distR="0">
            <wp:extent cx="4488434" cy="2680970"/>
            <wp:effectExtent l="0" t="0" r="0" b="0"/>
            <wp:docPr id="17321" name="Picture 17321"/>
            <wp:cNvGraphicFramePr/>
            <a:graphic xmlns:a="http://schemas.openxmlformats.org/drawingml/2006/main">
              <a:graphicData uri="http://schemas.openxmlformats.org/drawingml/2006/picture">
                <pic:pic xmlns:pic="http://schemas.openxmlformats.org/drawingml/2006/picture">
                  <pic:nvPicPr>
                    <pic:cNvPr id="17321" name="Picture 17321"/>
                    <pic:cNvPicPr/>
                  </pic:nvPicPr>
                  <pic:blipFill>
                    <a:blip r:embed="rId185"/>
                    <a:stretch>
                      <a:fillRect/>
                    </a:stretch>
                  </pic:blipFill>
                  <pic:spPr>
                    <a:xfrm>
                      <a:off x="0" y="0"/>
                      <a:ext cx="4488434" cy="2680970"/>
                    </a:xfrm>
                    <a:prstGeom prst="rect">
                      <a:avLst/>
                    </a:prstGeom>
                  </pic:spPr>
                </pic:pic>
              </a:graphicData>
            </a:graphic>
          </wp:inline>
        </w:drawing>
      </w:r>
    </w:p>
    <w:p w:rsidR="0076001D" w:rsidRDefault="0034129A">
      <w:pPr>
        <w:spacing w:after="281" w:line="259" w:lineRule="auto"/>
        <w:ind w:left="0" w:firstLine="0"/>
        <w:jc w:val="left"/>
      </w:pPr>
      <w:r>
        <w:rPr>
          <w:sz w:val="20"/>
        </w:rPr>
        <w:t xml:space="preserve"> </w:t>
      </w:r>
    </w:p>
    <w:p w:rsidR="0076001D" w:rsidRDefault="0034129A">
      <w:pPr>
        <w:pStyle w:val="Ttulo1"/>
        <w:spacing w:after="0"/>
        <w:ind w:left="543" w:firstLine="0"/>
      </w:pPr>
      <w:r>
        <w:rPr>
          <w:sz w:val="26"/>
        </w:rPr>
        <w:t xml:space="preserve">5.2.6 Seguimiento a Recomendaciones 2019 </w:t>
      </w:r>
    </w:p>
    <w:p w:rsidR="0076001D" w:rsidRDefault="0034129A">
      <w:pPr>
        <w:spacing w:after="0" w:line="259" w:lineRule="auto"/>
        <w:ind w:left="0" w:firstLine="0"/>
        <w:jc w:val="left"/>
      </w:pPr>
      <w:r>
        <w:rPr>
          <w:b/>
          <w:sz w:val="27"/>
        </w:rPr>
        <w:t xml:space="preserve"> </w:t>
      </w:r>
    </w:p>
    <w:tbl>
      <w:tblPr>
        <w:tblStyle w:val="TableGrid"/>
        <w:tblW w:w="9888" w:type="dxa"/>
        <w:tblInd w:w="164" w:type="dxa"/>
        <w:tblCellMar>
          <w:top w:w="7" w:type="dxa"/>
          <w:left w:w="5" w:type="dxa"/>
          <w:right w:w="47" w:type="dxa"/>
        </w:tblCellMar>
        <w:tblLook w:val="04A0" w:firstRow="1" w:lastRow="0" w:firstColumn="1" w:lastColumn="0" w:noHBand="0" w:noVBand="1"/>
      </w:tblPr>
      <w:tblGrid>
        <w:gridCol w:w="389"/>
        <w:gridCol w:w="4254"/>
        <w:gridCol w:w="710"/>
        <w:gridCol w:w="4535"/>
      </w:tblGrid>
      <w:tr w:rsidR="0076001D">
        <w:trPr>
          <w:trHeight w:val="256"/>
        </w:trPr>
        <w:tc>
          <w:tcPr>
            <w:tcW w:w="389"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2" w:firstLine="0"/>
              <w:jc w:val="left"/>
            </w:pPr>
            <w:r>
              <w:rPr>
                <w:b/>
                <w:sz w:val="20"/>
              </w:rPr>
              <w:t xml:space="preserve">N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7" w:firstLine="0"/>
              <w:jc w:val="center"/>
            </w:pPr>
            <w:r>
              <w:rPr>
                <w:b/>
                <w:sz w:val="20"/>
              </w:rPr>
              <w:t xml:space="preserve">OBSERVACIÓN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453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3" w:firstLine="0"/>
              <w:jc w:val="center"/>
            </w:pPr>
            <w:r>
              <w:rPr>
                <w:b/>
                <w:sz w:val="20"/>
              </w:rPr>
              <w:t xml:space="preserve">SEGUIMIENTO </w:t>
            </w:r>
          </w:p>
        </w:tc>
      </w:tr>
      <w:tr w:rsidR="0076001D">
        <w:trPr>
          <w:trHeight w:val="3926"/>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33" w:line="259" w:lineRule="auto"/>
              <w:ind w:left="0" w:firstLine="0"/>
              <w:jc w:val="left"/>
            </w:pPr>
            <w:r>
              <w:rPr>
                <w:b/>
              </w:rPr>
              <w:t xml:space="preserve"> </w:t>
            </w:r>
          </w:p>
          <w:p w:rsidR="0076001D" w:rsidRDefault="0034129A">
            <w:pPr>
              <w:spacing w:after="0" w:line="259" w:lineRule="auto"/>
              <w:ind w:left="0" w:firstLine="0"/>
              <w:jc w:val="left"/>
            </w:pPr>
            <w:r>
              <w:rPr>
                <w:b/>
                <w:sz w:val="28"/>
              </w:rPr>
              <w:t xml:space="preserve"> </w:t>
            </w:r>
          </w:p>
          <w:p w:rsidR="0076001D" w:rsidRDefault="0034129A">
            <w:pPr>
              <w:spacing w:after="0" w:line="259" w:lineRule="auto"/>
              <w:ind w:left="115" w:firstLine="0"/>
              <w:jc w:val="left"/>
            </w:pPr>
            <w:r>
              <w:rPr>
                <w:sz w:val="20"/>
              </w:rPr>
              <w:t xml:space="preserve">1.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56" w:firstLine="0"/>
            </w:pPr>
            <w:r>
              <w:rPr>
                <w:sz w:val="20"/>
              </w:rPr>
              <w:t xml:space="preserve">Dados los resultados de las pruebas de seguridad adelantadas por el auditor, se recomienda fortalecer y replantear el </w:t>
            </w:r>
            <w:r>
              <w:rPr>
                <w:i/>
                <w:sz w:val="20"/>
              </w:rPr>
              <w:t xml:space="preserve">PL-GT- 12- 04 Plan Seguridad y Privacidad de la_Info_V1, </w:t>
            </w:r>
            <w:r>
              <w:rPr>
                <w:sz w:val="20"/>
              </w:rPr>
              <w:t xml:space="preserve">como un proyecto de implementación del MSPI atendiendo los controles establecidos por la norma ISO 27001:2013 que realmente garanticen el aseguramiento de la plataforma y no únicamente un cumplimiento documental parcial. Un sistema de gestión de seguridad de la información correctamente implementado es aquel que incluye los controles tecnológicos que aseguren la plataforma TIC y la información de la entidad. Se recomienda si es posible contratar consultoría especializada.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 w:firstLine="0"/>
              <w:jc w:val="left"/>
            </w:pPr>
            <w:r>
              <w:rPr>
                <w:b/>
                <w:sz w:val="20"/>
              </w:rPr>
              <w:t xml:space="preserve"> </w:t>
            </w:r>
          </w:p>
          <w:p w:rsidR="0076001D" w:rsidRDefault="0034129A">
            <w:pPr>
              <w:spacing w:after="0" w:line="259" w:lineRule="auto"/>
              <w:ind w:left="107" w:firstLine="0"/>
              <w:jc w:val="left"/>
            </w:pPr>
            <w:r>
              <w:rPr>
                <w:noProof/>
                <w:lang w:val="es-ES" w:eastAsia="es-ES"/>
              </w:rPr>
              <w:drawing>
                <wp:inline distT="0" distB="0" distL="0" distR="0">
                  <wp:extent cx="267691" cy="292100"/>
                  <wp:effectExtent l="0" t="0" r="0" b="0"/>
                  <wp:docPr id="17319" name="Picture 17319"/>
                  <wp:cNvGraphicFramePr/>
                  <a:graphic xmlns:a="http://schemas.openxmlformats.org/drawingml/2006/main">
                    <a:graphicData uri="http://schemas.openxmlformats.org/drawingml/2006/picture">
                      <pic:pic xmlns:pic="http://schemas.openxmlformats.org/drawingml/2006/picture">
                        <pic:nvPicPr>
                          <pic:cNvPr id="17319" name="Picture 17319"/>
                          <pic:cNvPicPr/>
                        </pic:nvPicPr>
                        <pic:blipFill>
                          <a:blip r:embed="rId186"/>
                          <a:stretch>
                            <a:fillRect/>
                          </a:stretch>
                        </pic:blipFill>
                        <pic:spPr>
                          <a:xfrm>
                            <a:off x="0" y="0"/>
                            <a:ext cx="267691" cy="292100"/>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60" w:firstLine="0"/>
            </w:pPr>
            <w:r>
              <w:rPr>
                <w:sz w:val="20"/>
              </w:rPr>
              <w:t xml:space="preserve">Si bien se presentado avance en la implementación de controles de seguridad y en el aseguramiento de la plataforma, aun no se ha implementado totalmente los controles requeridos para tener un sistema de gestión de seguridad de la información completo. </w:t>
            </w:r>
          </w:p>
        </w:tc>
      </w:tr>
    </w:tbl>
    <w:p w:rsidR="0076001D" w:rsidRDefault="0076001D">
      <w:pPr>
        <w:spacing w:after="0" w:line="259" w:lineRule="auto"/>
        <w:ind w:left="-1159" w:right="57" w:firstLine="0"/>
        <w:jc w:val="left"/>
      </w:pPr>
    </w:p>
    <w:tbl>
      <w:tblPr>
        <w:tblStyle w:val="TableGrid"/>
        <w:tblW w:w="9888" w:type="dxa"/>
        <w:tblInd w:w="164" w:type="dxa"/>
        <w:tblCellMar>
          <w:top w:w="6" w:type="dxa"/>
          <w:left w:w="5" w:type="dxa"/>
          <w:right w:w="47" w:type="dxa"/>
        </w:tblCellMar>
        <w:tblLook w:val="04A0" w:firstRow="1" w:lastRow="0" w:firstColumn="1" w:lastColumn="0" w:noHBand="0" w:noVBand="1"/>
      </w:tblPr>
      <w:tblGrid>
        <w:gridCol w:w="389"/>
        <w:gridCol w:w="4254"/>
        <w:gridCol w:w="710"/>
        <w:gridCol w:w="4535"/>
      </w:tblGrid>
      <w:tr w:rsidR="0076001D">
        <w:trPr>
          <w:trHeight w:val="257"/>
        </w:trPr>
        <w:tc>
          <w:tcPr>
            <w:tcW w:w="389"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0" w:firstLine="0"/>
              <w:jc w:val="left"/>
            </w:pPr>
            <w:r>
              <w:rPr>
                <w:b/>
                <w:sz w:val="20"/>
              </w:rPr>
              <w:t xml:space="preserve">N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7" w:firstLine="0"/>
              <w:jc w:val="center"/>
            </w:pPr>
            <w:r>
              <w:rPr>
                <w:b/>
                <w:sz w:val="20"/>
              </w:rPr>
              <w:t xml:space="preserve">OBSERVACIÓN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453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3" w:firstLine="0"/>
              <w:jc w:val="center"/>
            </w:pPr>
            <w:r>
              <w:rPr>
                <w:b/>
                <w:sz w:val="20"/>
              </w:rPr>
              <w:t xml:space="preserve">SEGUIMIENTO </w:t>
            </w:r>
          </w:p>
        </w:tc>
      </w:tr>
      <w:tr w:rsidR="0076001D">
        <w:trPr>
          <w:trHeight w:val="932"/>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30"/>
              </w:rPr>
              <w:t xml:space="preserve"> </w:t>
            </w:r>
          </w:p>
          <w:p w:rsidR="0076001D" w:rsidRDefault="0034129A">
            <w:pPr>
              <w:spacing w:after="0" w:line="259" w:lineRule="auto"/>
              <w:ind w:left="34" w:firstLine="0"/>
              <w:jc w:val="left"/>
            </w:pPr>
            <w:r>
              <w:rPr>
                <w:sz w:val="20"/>
              </w:rPr>
              <w:t xml:space="preserve">2.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84" w:firstLine="0"/>
            </w:pPr>
            <w:r>
              <w:rPr>
                <w:sz w:val="20"/>
              </w:rPr>
              <w:t xml:space="preserve">Incluir en el </w:t>
            </w:r>
            <w:r>
              <w:rPr>
                <w:i/>
                <w:sz w:val="20"/>
              </w:rPr>
              <w:t xml:space="preserve">PL-GT-12-04 </w:t>
            </w:r>
            <w:r>
              <w:rPr>
                <w:sz w:val="20"/>
              </w:rPr>
              <w:t xml:space="preserve">la adopción IPV6 incluyendo el diagnostico que permita identificar el alcance y acciones para una correcta implementación.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right="112" w:firstLine="0"/>
              <w:jc w:val="right"/>
            </w:pPr>
            <w:r>
              <w:rPr>
                <w:noProof/>
                <w:lang w:val="es-ES" w:eastAsia="es-ES"/>
              </w:rPr>
              <w:drawing>
                <wp:inline distT="0" distB="0" distL="0" distR="0">
                  <wp:extent cx="278765" cy="278765"/>
                  <wp:effectExtent l="0" t="0" r="0" b="0"/>
                  <wp:docPr id="17691" name="Picture 17691"/>
                  <wp:cNvGraphicFramePr/>
                  <a:graphic xmlns:a="http://schemas.openxmlformats.org/drawingml/2006/main">
                    <a:graphicData uri="http://schemas.openxmlformats.org/drawingml/2006/picture">
                      <pic:pic xmlns:pic="http://schemas.openxmlformats.org/drawingml/2006/picture">
                        <pic:nvPicPr>
                          <pic:cNvPr id="17691" name="Picture 17691"/>
                          <pic:cNvPicPr/>
                        </pic:nvPicPr>
                        <pic:blipFill>
                          <a:blip r:embed="rId187"/>
                          <a:stretch>
                            <a:fillRect/>
                          </a:stretch>
                        </pic:blipFill>
                        <pic:spPr>
                          <a:xfrm>
                            <a:off x="0" y="0"/>
                            <a:ext cx="278765" cy="278765"/>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tabs>
                <w:tab w:val="center" w:pos="227"/>
                <w:tab w:val="center" w:pos="795"/>
                <w:tab w:val="center" w:pos="1687"/>
                <w:tab w:val="center" w:pos="2944"/>
                <w:tab w:val="center" w:pos="3811"/>
                <w:tab w:val="center" w:pos="4308"/>
              </w:tabs>
              <w:spacing w:after="0" w:line="259" w:lineRule="auto"/>
              <w:ind w:left="0" w:firstLine="0"/>
              <w:jc w:val="left"/>
            </w:pPr>
            <w:r>
              <w:rPr>
                <w:rFonts w:ascii="Calibri" w:eastAsia="Calibri" w:hAnsi="Calibri" w:cs="Calibri"/>
              </w:rPr>
              <w:tab/>
            </w:r>
            <w:r>
              <w:rPr>
                <w:sz w:val="20"/>
              </w:rPr>
              <w:t xml:space="preserve">Ya </w:t>
            </w:r>
            <w:r>
              <w:rPr>
                <w:sz w:val="20"/>
              </w:rPr>
              <w:tab/>
              <w:t xml:space="preserve">se </w:t>
            </w:r>
            <w:r>
              <w:rPr>
                <w:sz w:val="20"/>
              </w:rPr>
              <w:tab/>
              <w:t xml:space="preserve">encuentra </w:t>
            </w:r>
            <w:r>
              <w:rPr>
                <w:sz w:val="20"/>
              </w:rPr>
              <w:tab/>
              <w:t xml:space="preserve">contratado </w:t>
            </w:r>
            <w:r>
              <w:rPr>
                <w:sz w:val="20"/>
              </w:rPr>
              <w:tab/>
              <w:t xml:space="preserve">y </w:t>
            </w:r>
            <w:r>
              <w:rPr>
                <w:sz w:val="20"/>
              </w:rPr>
              <w:tab/>
              <w:t xml:space="preserve">en </w:t>
            </w:r>
          </w:p>
          <w:p w:rsidR="0076001D" w:rsidRDefault="0034129A">
            <w:pPr>
              <w:spacing w:after="0" w:line="259" w:lineRule="auto"/>
              <w:ind w:left="106" w:right="408" w:firstLine="0"/>
            </w:pPr>
            <w:proofErr w:type="gramStart"/>
            <w:r>
              <w:rPr>
                <w:sz w:val="20"/>
              </w:rPr>
              <w:t>implementación</w:t>
            </w:r>
            <w:proofErr w:type="gramEnd"/>
            <w:r>
              <w:rPr>
                <w:sz w:val="20"/>
              </w:rPr>
              <w:t xml:space="preserve"> la adopción de IPV6, en la revisión de la documentación entregada se evidencia su correcto planteamiento. </w:t>
            </w:r>
          </w:p>
        </w:tc>
      </w:tr>
      <w:tr w:rsidR="0076001D">
        <w:trPr>
          <w:trHeight w:val="1387"/>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36" w:line="259" w:lineRule="auto"/>
              <w:ind w:left="0" w:firstLine="0"/>
              <w:jc w:val="left"/>
            </w:pPr>
            <w:r>
              <w:rPr>
                <w:rFonts w:ascii="Times New Roman" w:eastAsia="Times New Roman" w:hAnsi="Times New Roman" w:cs="Times New Roman"/>
              </w:rPr>
              <w:lastRenderedPageBreak/>
              <w:t xml:space="preserve"> </w:t>
            </w:r>
          </w:p>
          <w:p w:rsidR="0076001D" w:rsidRDefault="0034129A">
            <w:pPr>
              <w:spacing w:after="0" w:line="259" w:lineRule="auto"/>
              <w:ind w:left="0" w:firstLine="0"/>
              <w:jc w:val="left"/>
            </w:pPr>
            <w:r>
              <w:rPr>
                <w:rFonts w:ascii="Times New Roman" w:eastAsia="Times New Roman" w:hAnsi="Times New Roman" w:cs="Times New Roman"/>
                <w:sz w:val="27"/>
              </w:rPr>
              <w:t xml:space="preserve"> </w:t>
            </w:r>
          </w:p>
          <w:p w:rsidR="0076001D" w:rsidRDefault="0034129A">
            <w:pPr>
              <w:spacing w:after="0" w:line="259" w:lineRule="auto"/>
              <w:ind w:left="34" w:firstLine="0"/>
              <w:jc w:val="left"/>
            </w:pPr>
            <w:r>
              <w:rPr>
                <w:sz w:val="20"/>
              </w:rPr>
              <w:t xml:space="preserve">3.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59" w:firstLine="0"/>
            </w:pPr>
            <w:r>
              <w:rPr>
                <w:sz w:val="20"/>
              </w:rPr>
              <w:t xml:space="preserve">Ajustar el diagrama de infraestructura de acuerdo con las observaciones emitidas en el presente informe.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7" w:firstLine="0"/>
              <w:jc w:val="left"/>
            </w:pPr>
            <w:r>
              <w:rPr>
                <w:noProof/>
                <w:lang w:val="es-ES" w:eastAsia="es-ES"/>
              </w:rPr>
              <w:drawing>
                <wp:inline distT="0" distB="0" distL="0" distR="0">
                  <wp:extent cx="267170" cy="280670"/>
                  <wp:effectExtent l="0" t="0" r="0" b="0"/>
                  <wp:docPr id="17693" name="Picture 17693"/>
                  <wp:cNvGraphicFramePr/>
                  <a:graphic xmlns:a="http://schemas.openxmlformats.org/drawingml/2006/main">
                    <a:graphicData uri="http://schemas.openxmlformats.org/drawingml/2006/picture">
                      <pic:pic xmlns:pic="http://schemas.openxmlformats.org/drawingml/2006/picture">
                        <pic:nvPicPr>
                          <pic:cNvPr id="17693" name="Picture 17693"/>
                          <pic:cNvPicPr/>
                        </pic:nvPicPr>
                        <pic:blipFill>
                          <a:blip r:embed="rId186"/>
                          <a:stretch>
                            <a:fillRect/>
                          </a:stretch>
                        </pic:blipFill>
                        <pic:spPr>
                          <a:xfrm>
                            <a:off x="0" y="0"/>
                            <a:ext cx="267170" cy="280670"/>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6" w:right="60" w:firstLine="0"/>
            </w:pPr>
            <w:r>
              <w:rPr>
                <w:sz w:val="20"/>
              </w:rPr>
              <w:t xml:space="preserve">Ya se realizaron las modificaciones al diagrama, sin embargo, no se incluyeron las identificaciones de direcciones IP ni se identifica el DHCP, se recomienda hacer un diagrama </w:t>
            </w:r>
          </w:p>
          <w:p w:rsidR="0076001D" w:rsidRDefault="0034129A">
            <w:pPr>
              <w:spacing w:after="0" w:line="259" w:lineRule="auto"/>
              <w:ind w:left="106" w:firstLine="0"/>
              <w:jc w:val="left"/>
            </w:pPr>
            <w:r>
              <w:rPr>
                <w:sz w:val="20"/>
              </w:rPr>
              <w:t xml:space="preserve">alterno de uso del área con estas modificaciones, </w:t>
            </w:r>
          </w:p>
        </w:tc>
      </w:tr>
      <w:tr w:rsidR="0076001D">
        <w:trPr>
          <w:trHeight w:val="1160"/>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0" w:line="259" w:lineRule="auto"/>
              <w:ind w:left="0" w:firstLine="0"/>
              <w:jc w:val="left"/>
            </w:pPr>
            <w:r>
              <w:rPr>
                <w:rFonts w:ascii="Times New Roman" w:eastAsia="Times New Roman" w:hAnsi="Times New Roman" w:cs="Times New Roman"/>
                <w:sz w:val="17"/>
              </w:rPr>
              <w:t xml:space="preserve"> </w:t>
            </w:r>
          </w:p>
          <w:p w:rsidR="0076001D" w:rsidRDefault="0034129A">
            <w:pPr>
              <w:spacing w:after="0" w:line="259" w:lineRule="auto"/>
              <w:ind w:left="34" w:firstLine="0"/>
              <w:jc w:val="left"/>
            </w:pPr>
            <w:r>
              <w:rPr>
                <w:sz w:val="20"/>
              </w:rPr>
              <w:t xml:space="preserve">4.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62" w:firstLine="0"/>
            </w:pPr>
            <w:r>
              <w:rPr>
                <w:sz w:val="20"/>
              </w:rPr>
              <w:t xml:space="preserve">Atender las debilidades en la configuración del Firewall con las siguientes acciones: activar las detecciones de seguridad para intrusos, virus, cambios de configuración de correo y exceso de cuota de disco.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right="112" w:firstLine="0"/>
              <w:jc w:val="right"/>
            </w:pPr>
            <w:r>
              <w:rPr>
                <w:noProof/>
                <w:lang w:val="es-ES" w:eastAsia="es-ES"/>
              </w:rPr>
              <w:drawing>
                <wp:inline distT="0" distB="0" distL="0" distR="0">
                  <wp:extent cx="278765" cy="278765"/>
                  <wp:effectExtent l="0" t="0" r="0" b="0"/>
                  <wp:docPr id="17695" name="Picture 17695"/>
                  <wp:cNvGraphicFramePr/>
                  <a:graphic xmlns:a="http://schemas.openxmlformats.org/drawingml/2006/main">
                    <a:graphicData uri="http://schemas.openxmlformats.org/drawingml/2006/picture">
                      <pic:pic xmlns:pic="http://schemas.openxmlformats.org/drawingml/2006/picture">
                        <pic:nvPicPr>
                          <pic:cNvPr id="17695" name="Picture 17695"/>
                          <pic:cNvPicPr/>
                        </pic:nvPicPr>
                        <pic:blipFill>
                          <a:blip r:embed="rId187"/>
                          <a:stretch>
                            <a:fillRect/>
                          </a:stretch>
                        </pic:blipFill>
                        <pic:spPr>
                          <a:xfrm>
                            <a:off x="0" y="0"/>
                            <a:ext cx="278765" cy="278765"/>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firstLine="0"/>
              <w:jc w:val="left"/>
            </w:pPr>
            <w:r>
              <w:rPr>
                <w:sz w:val="20"/>
              </w:rPr>
              <w:t xml:space="preserve">Los controles implementados en el firewall son los adecuados. </w:t>
            </w:r>
          </w:p>
        </w:tc>
      </w:tr>
      <w:tr w:rsidR="0076001D">
        <w:trPr>
          <w:trHeight w:val="1622"/>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41"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34" w:firstLine="0"/>
              <w:jc w:val="left"/>
            </w:pPr>
            <w:r>
              <w:rPr>
                <w:sz w:val="20"/>
              </w:rPr>
              <w:t xml:space="preserve">5.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61" w:firstLine="0"/>
            </w:pPr>
            <w:r>
              <w:rPr>
                <w:sz w:val="20"/>
              </w:rPr>
              <w:t xml:space="preserve">Para mejorar el nivel de monitoreo y seguridad, se recomienda separar el grupo de servidores a un segmento de la LAN diferente al de los equipos de usuario y configurarlo para que el Firewall pueda monitorear la interacción de los usuarios con los servidores.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40" w:firstLine="0"/>
              <w:jc w:val="left"/>
            </w:pPr>
            <w:r>
              <w:rPr>
                <w:noProof/>
                <w:lang w:val="es-ES" w:eastAsia="es-ES"/>
              </w:rPr>
              <w:drawing>
                <wp:inline distT="0" distB="0" distL="0" distR="0">
                  <wp:extent cx="248920" cy="248831"/>
                  <wp:effectExtent l="0" t="0" r="0" b="0"/>
                  <wp:docPr id="17697" name="Picture 17697"/>
                  <wp:cNvGraphicFramePr/>
                  <a:graphic xmlns:a="http://schemas.openxmlformats.org/drawingml/2006/main">
                    <a:graphicData uri="http://schemas.openxmlformats.org/drawingml/2006/picture">
                      <pic:pic xmlns:pic="http://schemas.openxmlformats.org/drawingml/2006/picture">
                        <pic:nvPicPr>
                          <pic:cNvPr id="17697" name="Picture 17697"/>
                          <pic:cNvPicPr/>
                        </pic:nvPicPr>
                        <pic:blipFill>
                          <a:blip r:embed="rId188"/>
                          <a:stretch>
                            <a:fillRect/>
                          </a:stretch>
                        </pic:blipFill>
                        <pic:spPr>
                          <a:xfrm>
                            <a:off x="0" y="0"/>
                            <a:ext cx="248920" cy="248831"/>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62" w:firstLine="0"/>
            </w:pPr>
            <w:r>
              <w:rPr>
                <w:sz w:val="20"/>
              </w:rPr>
              <w:t xml:space="preserve">Aun no se ha realizado esta labor, en los escaneos realizados por el auditor se evidencia que los servidores continúan en el mismo segmento que los equipos de usuarios. </w:t>
            </w:r>
          </w:p>
        </w:tc>
      </w:tr>
      <w:tr w:rsidR="0076001D">
        <w:trPr>
          <w:trHeight w:val="927"/>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9"/>
              </w:rPr>
              <w:t xml:space="preserve"> </w:t>
            </w:r>
          </w:p>
          <w:p w:rsidR="0076001D" w:rsidRDefault="0034129A">
            <w:pPr>
              <w:spacing w:after="0" w:line="259" w:lineRule="auto"/>
              <w:ind w:left="34" w:firstLine="0"/>
              <w:jc w:val="left"/>
            </w:pPr>
            <w:r>
              <w:rPr>
                <w:sz w:val="20"/>
              </w:rPr>
              <w:t xml:space="preserve">6.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62" w:firstLine="0"/>
            </w:pPr>
            <w:r>
              <w:rPr>
                <w:sz w:val="20"/>
              </w:rPr>
              <w:t xml:space="preserve">Configurar el sistema de protección de intrusos habilitando los filtros basados en firmas que permiten bloquear ataques de denegación de servicios y/o de fuerza bruta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right="112" w:firstLine="0"/>
              <w:jc w:val="right"/>
            </w:pPr>
            <w:r>
              <w:rPr>
                <w:noProof/>
                <w:lang w:val="es-ES" w:eastAsia="es-ES"/>
              </w:rPr>
              <w:drawing>
                <wp:inline distT="0" distB="0" distL="0" distR="0">
                  <wp:extent cx="278765" cy="278765"/>
                  <wp:effectExtent l="0" t="0" r="0" b="0"/>
                  <wp:docPr id="17699" name="Picture 17699"/>
                  <wp:cNvGraphicFramePr/>
                  <a:graphic xmlns:a="http://schemas.openxmlformats.org/drawingml/2006/main">
                    <a:graphicData uri="http://schemas.openxmlformats.org/drawingml/2006/picture">
                      <pic:pic xmlns:pic="http://schemas.openxmlformats.org/drawingml/2006/picture">
                        <pic:nvPicPr>
                          <pic:cNvPr id="17699" name="Picture 17699"/>
                          <pic:cNvPicPr/>
                        </pic:nvPicPr>
                        <pic:blipFill>
                          <a:blip r:embed="rId187"/>
                          <a:stretch>
                            <a:fillRect/>
                          </a:stretch>
                        </pic:blipFill>
                        <pic:spPr>
                          <a:xfrm>
                            <a:off x="0" y="0"/>
                            <a:ext cx="278765" cy="278765"/>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59" w:firstLine="0"/>
            </w:pPr>
            <w:r>
              <w:rPr>
                <w:sz w:val="20"/>
              </w:rPr>
              <w:t xml:space="preserve">Ya se encuentran configurados y en funcionamiento los principales filtros basados en firmas en el firewall. </w:t>
            </w:r>
          </w:p>
        </w:tc>
      </w:tr>
      <w:tr w:rsidR="0076001D">
        <w:trPr>
          <w:trHeight w:val="5845"/>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42" w:lineRule="auto"/>
              <w:ind w:left="0" w:right="280" w:firstLine="0"/>
              <w:jc w:val="left"/>
            </w:pPr>
            <w:r>
              <w:rPr>
                <w:rFonts w:ascii="Times New Roman" w:eastAsia="Times New Roman" w:hAnsi="Times New Roman" w:cs="Times New Roman"/>
              </w:rPr>
              <w:t xml:space="preserve"> </w:t>
            </w:r>
            <w:r>
              <w:rPr>
                <w:rFonts w:ascii="Times New Roman" w:eastAsia="Times New Roman" w:hAnsi="Times New Roman" w:cs="Times New Roman"/>
                <w:sz w:val="23"/>
              </w:rPr>
              <w:t xml:space="preserve"> </w:t>
            </w:r>
          </w:p>
          <w:p w:rsidR="0076001D" w:rsidRDefault="0034129A">
            <w:pPr>
              <w:spacing w:after="0" w:line="259" w:lineRule="auto"/>
              <w:ind w:left="34" w:firstLine="0"/>
              <w:jc w:val="left"/>
            </w:pPr>
            <w:r>
              <w:rPr>
                <w:sz w:val="20"/>
              </w:rPr>
              <w:t xml:space="preserve">7.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59" w:firstLine="0"/>
            </w:pPr>
            <w:r>
              <w:rPr>
                <w:sz w:val="20"/>
              </w:rPr>
              <w:t xml:space="preserve">Como parte de la implementación del MSPI Dominio 12 Gestión de Operaciones, adelantar y poner en funcionamiento un procedimiento de registro, monitoreo y medición de capacidad y desempeño, que incluya las siguientes acciones y sus responsables: </w:t>
            </w:r>
          </w:p>
          <w:p w:rsidR="0076001D" w:rsidRDefault="0034129A">
            <w:pPr>
              <w:spacing w:after="0" w:line="241" w:lineRule="auto"/>
              <w:ind w:left="142" w:right="61" w:firstLine="0"/>
            </w:pPr>
            <w:r>
              <w:rPr>
                <w:sz w:val="20"/>
              </w:rPr>
              <w:t xml:space="preserve">-Identificar los recursos tecnológicos y los sistemas operacionales que generarán </w:t>
            </w:r>
            <w:proofErr w:type="spellStart"/>
            <w:r>
              <w:rPr>
                <w:sz w:val="20"/>
              </w:rPr>
              <w:t>logs</w:t>
            </w:r>
            <w:proofErr w:type="spellEnd"/>
            <w:r>
              <w:rPr>
                <w:sz w:val="20"/>
              </w:rPr>
              <w:t xml:space="preserve"> de eventos de acuerdo con el nivel de criticidad establecido en el inventario de activos (incluyendo el firewall, antivirus, SO Red, sistemas de información, procesos de </w:t>
            </w:r>
            <w:proofErr w:type="spellStart"/>
            <w:r>
              <w:rPr>
                <w:sz w:val="20"/>
              </w:rPr>
              <w:t>Backup</w:t>
            </w:r>
            <w:proofErr w:type="spellEnd"/>
            <w:r>
              <w:rPr>
                <w:sz w:val="20"/>
              </w:rPr>
              <w:t xml:space="preserve">, etc.) </w:t>
            </w:r>
          </w:p>
          <w:p w:rsidR="0076001D" w:rsidRDefault="0034129A">
            <w:pPr>
              <w:spacing w:after="0" w:line="241" w:lineRule="auto"/>
              <w:ind w:left="142" w:right="56" w:firstLine="0"/>
            </w:pPr>
            <w:r>
              <w:rPr>
                <w:sz w:val="20"/>
              </w:rPr>
              <w:t xml:space="preserve">-Establecer las pautas requeridas para habilitar el registro de eventos, excepciones y fallas, utilizando </w:t>
            </w:r>
            <w:proofErr w:type="spellStart"/>
            <w:r>
              <w:rPr>
                <w:sz w:val="20"/>
              </w:rPr>
              <w:t>logs</w:t>
            </w:r>
            <w:proofErr w:type="spellEnd"/>
            <w:r>
              <w:rPr>
                <w:sz w:val="20"/>
              </w:rPr>
              <w:t xml:space="preserve"> y/o sistemas de registro. -Realizar un monitoreo periódico de los </w:t>
            </w:r>
            <w:proofErr w:type="spellStart"/>
            <w:r>
              <w:rPr>
                <w:sz w:val="20"/>
              </w:rPr>
              <w:t>logs</w:t>
            </w:r>
            <w:proofErr w:type="spellEnd"/>
            <w:r>
              <w:rPr>
                <w:sz w:val="20"/>
              </w:rPr>
              <w:t xml:space="preserve"> y/o sistemas de registro que sean generados en la operación diaria de los activos de información, para identificar vulnerabilidades técnicas emergentes </w:t>
            </w:r>
          </w:p>
          <w:p w:rsidR="0076001D" w:rsidRDefault="0034129A">
            <w:pPr>
              <w:spacing w:after="0" w:line="259" w:lineRule="auto"/>
              <w:ind w:left="142" w:firstLine="0"/>
              <w:jc w:val="left"/>
            </w:pPr>
            <w:r>
              <w:rPr>
                <w:sz w:val="20"/>
              </w:rPr>
              <w:t xml:space="preserve">-Prevenir la modificación y eliminación de los </w:t>
            </w:r>
            <w:proofErr w:type="spellStart"/>
            <w:r>
              <w:rPr>
                <w:sz w:val="20"/>
              </w:rPr>
              <w:t>logs</w:t>
            </w:r>
            <w:proofErr w:type="spellEnd"/>
            <w:r>
              <w:rPr>
                <w:sz w:val="20"/>
              </w:rPr>
              <w:t xml:space="preserve"> y/o datos administrados en sistemas de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07" w:firstLine="0"/>
              <w:jc w:val="left"/>
            </w:pPr>
            <w:r>
              <w:rPr>
                <w:noProof/>
                <w:lang w:val="es-ES" w:eastAsia="es-ES"/>
              </w:rPr>
              <w:drawing>
                <wp:inline distT="0" distB="0" distL="0" distR="0">
                  <wp:extent cx="267170" cy="280670"/>
                  <wp:effectExtent l="0" t="0" r="0" b="0"/>
                  <wp:docPr id="17701" name="Picture 17701"/>
                  <wp:cNvGraphicFramePr/>
                  <a:graphic xmlns:a="http://schemas.openxmlformats.org/drawingml/2006/main">
                    <a:graphicData uri="http://schemas.openxmlformats.org/drawingml/2006/picture">
                      <pic:pic xmlns:pic="http://schemas.openxmlformats.org/drawingml/2006/picture">
                        <pic:nvPicPr>
                          <pic:cNvPr id="17701" name="Picture 17701"/>
                          <pic:cNvPicPr/>
                        </pic:nvPicPr>
                        <pic:blipFill>
                          <a:blip r:embed="rId186"/>
                          <a:stretch>
                            <a:fillRect/>
                          </a:stretch>
                        </pic:blipFill>
                        <pic:spPr>
                          <a:xfrm>
                            <a:off x="0" y="0"/>
                            <a:ext cx="267170" cy="280670"/>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6" w:right="60" w:firstLine="0"/>
            </w:pPr>
            <w:r>
              <w:rPr>
                <w:sz w:val="20"/>
              </w:rPr>
              <w:t xml:space="preserve">Si bien se está utilizando y gestionando las herramientas de monitoreo del firewall y antivirus y se registran acciones de monitoreo en una hoja de Excel, aún no existe un procedimiento, ni herramienta única de monitoreo que permita la medición de capacidad y desempeño de la infraestructura de TI y que incluya las acciones mencionada en la recomendación. </w:t>
            </w:r>
          </w:p>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06" w:firstLine="0"/>
            </w:pPr>
            <w:r>
              <w:rPr>
                <w:sz w:val="20"/>
              </w:rPr>
              <w:t xml:space="preserve">Todavía no se tiene control sobre los </w:t>
            </w:r>
            <w:proofErr w:type="spellStart"/>
            <w:r>
              <w:rPr>
                <w:sz w:val="20"/>
              </w:rPr>
              <w:t>logs</w:t>
            </w:r>
            <w:proofErr w:type="spellEnd"/>
            <w:r>
              <w:rPr>
                <w:sz w:val="20"/>
              </w:rPr>
              <w:t xml:space="preserve"> de todos los sistemas. </w:t>
            </w:r>
          </w:p>
        </w:tc>
      </w:tr>
    </w:tbl>
    <w:p w:rsidR="0076001D" w:rsidRDefault="0076001D">
      <w:pPr>
        <w:spacing w:after="0" w:line="259" w:lineRule="auto"/>
        <w:ind w:left="-1159" w:right="57" w:firstLine="0"/>
        <w:jc w:val="left"/>
      </w:pPr>
    </w:p>
    <w:tbl>
      <w:tblPr>
        <w:tblStyle w:val="TableGrid"/>
        <w:tblW w:w="9888" w:type="dxa"/>
        <w:tblInd w:w="164" w:type="dxa"/>
        <w:tblCellMar>
          <w:top w:w="6" w:type="dxa"/>
          <w:left w:w="5" w:type="dxa"/>
          <w:right w:w="17" w:type="dxa"/>
        </w:tblCellMar>
        <w:tblLook w:val="04A0" w:firstRow="1" w:lastRow="0" w:firstColumn="1" w:lastColumn="0" w:noHBand="0" w:noVBand="1"/>
      </w:tblPr>
      <w:tblGrid>
        <w:gridCol w:w="389"/>
        <w:gridCol w:w="4254"/>
        <w:gridCol w:w="710"/>
        <w:gridCol w:w="4535"/>
      </w:tblGrid>
      <w:tr w:rsidR="0076001D">
        <w:trPr>
          <w:trHeight w:val="257"/>
        </w:trPr>
        <w:tc>
          <w:tcPr>
            <w:tcW w:w="389"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0" w:firstLine="0"/>
              <w:jc w:val="left"/>
            </w:pPr>
            <w:r>
              <w:rPr>
                <w:b/>
                <w:sz w:val="20"/>
              </w:rPr>
              <w:t xml:space="preserve">N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7" w:firstLine="0"/>
              <w:jc w:val="center"/>
            </w:pPr>
            <w:r>
              <w:rPr>
                <w:b/>
                <w:sz w:val="20"/>
              </w:rPr>
              <w:t xml:space="preserve">OBSERVACIÓN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453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3" w:firstLine="0"/>
              <w:jc w:val="center"/>
            </w:pPr>
            <w:r>
              <w:rPr>
                <w:b/>
                <w:sz w:val="20"/>
              </w:rPr>
              <w:t xml:space="preserve">SEGUIMIENTO </w:t>
            </w:r>
          </w:p>
        </w:tc>
      </w:tr>
      <w:tr w:rsidR="0076001D">
        <w:trPr>
          <w:trHeight w:val="3465"/>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lastRenderedPageBreak/>
              <w:t xml:space="preserve">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60" w:lineRule="auto"/>
              <w:ind w:left="142" w:right="93" w:firstLine="0"/>
            </w:pPr>
            <w:r>
              <w:rPr>
                <w:sz w:val="20"/>
              </w:rPr>
              <w:t xml:space="preserve">registro por parte de usuarios con credenciales de acceso, incluyendo aquellos que tengan “acceso privilegiado” </w:t>
            </w:r>
          </w:p>
          <w:p w:rsidR="0076001D" w:rsidRDefault="0034129A">
            <w:pPr>
              <w:spacing w:after="1" w:line="240" w:lineRule="auto"/>
              <w:ind w:left="142" w:right="91" w:firstLine="0"/>
            </w:pPr>
            <w:r>
              <w:rPr>
                <w:sz w:val="20"/>
              </w:rPr>
              <w:t xml:space="preserve">-Establecer y ejecutar tareas automáticas de respaldo de </w:t>
            </w:r>
            <w:proofErr w:type="spellStart"/>
            <w:r>
              <w:rPr>
                <w:sz w:val="20"/>
              </w:rPr>
              <w:t>logs</w:t>
            </w:r>
            <w:proofErr w:type="spellEnd"/>
            <w:r>
              <w:rPr>
                <w:sz w:val="20"/>
              </w:rPr>
              <w:t xml:space="preserve"> mediante su programación en el plan de copias respaldo </w:t>
            </w:r>
          </w:p>
          <w:p w:rsidR="0076001D" w:rsidRDefault="0034129A">
            <w:pPr>
              <w:spacing w:after="0" w:line="241" w:lineRule="auto"/>
              <w:ind w:left="142" w:right="89" w:firstLine="0"/>
            </w:pPr>
            <w:r>
              <w:rPr>
                <w:sz w:val="20"/>
              </w:rPr>
              <w:t xml:space="preserve">-Definir un repositorio exclusivo donde se centralicen todos los </w:t>
            </w:r>
            <w:proofErr w:type="spellStart"/>
            <w:r>
              <w:rPr>
                <w:sz w:val="20"/>
              </w:rPr>
              <w:t>logs</w:t>
            </w:r>
            <w:proofErr w:type="spellEnd"/>
            <w:r>
              <w:rPr>
                <w:sz w:val="20"/>
              </w:rPr>
              <w:t xml:space="preserve"> generados a los cuales debe aplicarse mecanismos de encriptación durante la centralización, esto con el propósito de adelantar labores de monitoreo y análisis de eventos </w:t>
            </w:r>
          </w:p>
          <w:p w:rsidR="0076001D" w:rsidRDefault="0034129A">
            <w:pPr>
              <w:spacing w:after="0" w:line="259" w:lineRule="auto"/>
              <w:ind w:left="142" w:right="92" w:firstLine="0"/>
            </w:pPr>
            <w:r>
              <w:rPr>
                <w:sz w:val="20"/>
              </w:rPr>
              <w:t xml:space="preserve">-Finalmente tomar control sobre los </w:t>
            </w:r>
            <w:proofErr w:type="spellStart"/>
            <w:r>
              <w:rPr>
                <w:sz w:val="20"/>
              </w:rPr>
              <w:t>logs</w:t>
            </w:r>
            <w:proofErr w:type="spellEnd"/>
            <w:r>
              <w:rPr>
                <w:sz w:val="20"/>
              </w:rPr>
              <w:t xml:space="preserve"> de auditoría generados por los sistemas de información Humano y </w:t>
            </w:r>
            <w:proofErr w:type="spellStart"/>
            <w:r>
              <w:rPr>
                <w:sz w:val="20"/>
              </w:rPr>
              <w:t>Goobi</w:t>
            </w:r>
            <w:proofErr w:type="spellEnd"/>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r>
      <w:tr w:rsidR="0076001D">
        <w:trPr>
          <w:trHeight w:val="4647"/>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37"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34" w:firstLine="0"/>
              <w:jc w:val="left"/>
            </w:pPr>
            <w:r>
              <w:rPr>
                <w:sz w:val="20"/>
              </w:rPr>
              <w:t xml:space="preserve">8.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2" w:line="241" w:lineRule="auto"/>
              <w:ind w:left="108" w:right="89" w:firstLine="0"/>
            </w:pPr>
            <w:r>
              <w:rPr>
                <w:sz w:val="20"/>
              </w:rPr>
              <w:t xml:space="preserve">Como parte de la implementación del MSPI dominio 10. Cifrado, hacer el levantamiento de los activos de información en custodia o transito que requieren de algoritmos de encriptación. Atender como mínimo: </w:t>
            </w:r>
          </w:p>
          <w:p w:rsidR="0076001D" w:rsidRDefault="0034129A">
            <w:pPr>
              <w:numPr>
                <w:ilvl w:val="0"/>
                <w:numId w:val="44"/>
              </w:numPr>
              <w:spacing w:after="16" w:line="241" w:lineRule="auto"/>
              <w:ind w:right="89" w:hanging="216"/>
            </w:pPr>
            <w:r>
              <w:rPr>
                <w:sz w:val="20"/>
              </w:rPr>
              <w:t xml:space="preserve">Aplicar un algoritmo de encriptación para el archivo que contiene las claves de administrador y establecer una política de cambio mensual y en caso del retiro de algún funcionario o contratista conocedor de las claves. Este elemento también hace parte del MSPI dominio 9 Gestión de accesos- accesos privilegiados </w:t>
            </w:r>
          </w:p>
          <w:p w:rsidR="0076001D" w:rsidRDefault="0034129A">
            <w:pPr>
              <w:numPr>
                <w:ilvl w:val="0"/>
                <w:numId w:val="44"/>
              </w:numPr>
              <w:spacing w:after="11" w:line="241" w:lineRule="auto"/>
              <w:ind w:right="89" w:hanging="216"/>
            </w:pPr>
            <w:r>
              <w:rPr>
                <w:sz w:val="20"/>
              </w:rPr>
              <w:t xml:space="preserve">Archivos de alta confidencialidad almacenados en Drive o carpetas compartidas o en tránsito como adjuntos de correo electrónicos. </w:t>
            </w:r>
          </w:p>
          <w:p w:rsidR="0076001D" w:rsidRDefault="0034129A">
            <w:pPr>
              <w:numPr>
                <w:ilvl w:val="0"/>
                <w:numId w:val="44"/>
              </w:numPr>
              <w:spacing w:after="0" w:line="259" w:lineRule="auto"/>
              <w:ind w:right="89" w:hanging="216"/>
            </w:pPr>
            <w:r>
              <w:rPr>
                <w:sz w:val="20"/>
              </w:rPr>
              <w:t xml:space="preserve">Dispositivos móviles o de almacenamiento externo que puedan tener información confidencial.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22"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107" w:firstLine="0"/>
              <w:jc w:val="left"/>
            </w:pPr>
            <w:r>
              <w:rPr>
                <w:noProof/>
                <w:lang w:val="es-ES" w:eastAsia="es-ES"/>
              </w:rPr>
              <w:drawing>
                <wp:inline distT="0" distB="0" distL="0" distR="0">
                  <wp:extent cx="267170" cy="280670"/>
                  <wp:effectExtent l="0" t="0" r="0" b="0"/>
                  <wp:docPr id="18025" name="Picture 18025"/>
                  <wp:cNvGraphicFramePr/>
                  <a:graphic xmlns:a="http://schemas.openxmlformats.org/drawingml/2006/main">
                    <a:graphicData uri="http://schemas.openxmlformats.org/drawingml/2006/picture">
                      <pic:pic xmlns:pic="http://schemas.openxmlformats.org/drawingml/2006/picture">
                        <pic:nvPicPr>
                          <pic:cNvPr id="18025" name="Picture 18025"/>
                          <pic:cNvPicPr/>
                        </pic:nvPicPr>
                        <pic:blipFill>
                          <a:blip r:embed="rId186"/>
                          <a:stretch>
                            <a:fillRect/>
                          </a:stretch>
                        </pic:blipFill>
                        <pic:spPr>
                          <a:xfrm>
                            <a:off x="0" y="0"/>
                            <a:ext cx="267170" cy="280670"/>
                          </a:xfrm>
                          <a:prstGeom prst="rect">
                            <a:avLst/>
                          </a:prstGeom>
                        </pic:spPr>
                      </pic:pic>
                    </a:graphicData>
                  </a:graphic>
                </wp:inline>
              </w:drawing>
            </w:r>
            <w:r>
              <w:rPr>
                <w:rFonts w:ascii="Times New Roman" w:eastAsia="Times New Roman" w:hAnsi="Times New Roman" w:cs="Times New Roman"/>
                <w:sz w:val="20"/>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06" w:right="92" w:firstLine="0"/>
            </w:pPr>
            <w:r>
              <w:rPr>
                <w:sz w:val="20"/>
              </w:rPr>
              <w:t xml:space="preserve">Ya se adelantó el levantamiento de activos de información con su respectiva clasificación de confidencialidad y se adecuo en el plan de adopción IPV6. Pero aún no se han seleccionado algoritmos o herramientas de encriptación que permitan completar esta recomendación. </w:t>
            </w:r>
          </w:p>
        </w:tc>
      </w:tr>
      <w:tr w:rsidR="0076001D">
        <w:trPr>
          <w:trHeight w:val="931"/>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30"/>
              </w:rPr>
              <w:t xml:space="preserve"> </w:t>
            </w:r>
          </w:p>
          <w:p w:rsidR="0076001D" w:rsidRDefault="0034129A">
            <w:pPr>
              <w:spacing w:after="0" w:line="259" w:lineRule="auto"/>
              <w:ind w:left="34" w:firstLine="0"/>
              <w:jc w:val="left"/>
            </w:pPr>
            <w:r>
              <w:rPr>
                <w:sz w:val="20"/>
              </w:rPr>
              <w:t xml:space="preserve">9.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Hacer extensivas las configuraciones de los equipos Windows a los equipos Mac en todo lo referente a políticas de seguridad de dominio, firewall y antivirus.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7" w:firstLine="0"/>
              <w:jc w:val="left"/>
            </w:pPr>
            <w:r>
              <w:rPr>
                <w:sz w:val="20"/>
              </w:rPr>
              <w:t xml:space="preserve">Queda pendiente de su verificación, debido a la contingencia de Covid-19, no se pudieron realizar pruebas presenciales en los equipos Mac. </w:t>
            </w:r>
          </w:p>
        </w:tc>
      </w:tr>
      <w:tr w:rsidR="0076001D">
        <w:trPr>
          <w:trHeight w:val="1390"/>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36"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7"/>
              </w:rPr>
              <w:t xml:space="preserve"> </w:t>
            </w:r>
          </w:p>
          <w:p w:rsidR="0076001D" w:rsidRDefault="0034129A">
            <w:pPr>
              <w:spacing w:after="0" w:line="259" w:lineRule="auto"/>
              <w:ind w:left="34" w:firstLine="0"/>
            </w:pPr>
            <w:r>
              <w:rPr>
                <w:sz w:val="20"/>
              </w:rPr>
              <w:t xml:space="preserve">10.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90" w:firstLine="0"/>
            </w:pPr>
            <w:r>
              <w:rPr>
                <w:sz w:val="20"/>
              </w:rPr>
              <w:t xml:space="preserve">Configurar las reglas de red de aplicación máximas del antivirus para aplicaciones de alta peligrosidad como </w:t>
            </w:r>
            <w:proofErr w:type="spellStart"/>
            <w:r>
              <w:rPr>
                <w:sz w:val="20"/>
              </w:rPr>
              <w:t>sniffers</w:t>
            </w:r>
            <w:proofErr w:type="spellEnd"/>
            <w:r>
              <w:rPr>
                <w:sz w:val="20"/>
              </w:rPr>
              <w:t xml:space="preserve">, </w:t>
            </w:r>
            <w:proofErr w:type="spellStart"/>
            <w:r>
              <w:rPr>
                <w:sz w:val="20"/>
              </w:rPr>
              <w:t>man</w:t>
            </w:r>
            <w:proofErr w:type="spellEnd"/>
            <w:r>
              <w:rPr>
                <w:sz w:val="20"/>
              </w:rPr>
              <w:t xml:space="preserve"> in </w:t>
            </w:r>
            <w:proofErr w:type="spellStart"/>
            <w:r>
              <w:rPr>
                <w:sz w:val="20"/>
              </w:rPr>
              <w:t>the</w:t>
            </w:r>
            <w:proofErr w:type="spellEnd"/>
            <w:r>
              <w:rPr>
                <w:sz w:val="20"/>
              </w:rPr>
              <w:t xml:space="preserve"> </w:t>
            </w:r>
            <w:proofErr w:type="spellStart"/>
            <w:r>
              <w:rPr>
                <w:sz w:val="20"/>
              </w:rPr>
              <w:t>middle</w:t>
            </w:r>
            <w:proofErr w:type="spellEnd"/>
            <w:r>
              <w:rPr>
                <w:sz w:val="20"/>
              </w:rPr>
              <w:t xml:space="preserve">, etc. Revisar las reglas de restricción mínima contra los listados de software permitido.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07" w:firstLine="0"/>
              <w:jc w:val="left"/>
            </w:pPr>
            <w:r>
              <w:rPr>
                <w:noProof/>
                <w:lang w:val="es-ES" w:eastAsia="es-ES"/>
              </w:rPr>
              <w:drawing>
                <wp:inline distT="0" distB="0" distL="0" distR="0">
                  <wp:extent cx="278765" cy="278765"/>
                  <wp:effectExtent l="0" t="0" r="0" b="0"/>
                  <wp:docPr id="18027" name="Picture 18027"/>
                  <wp:cNvGraphicFramePr/>
                  <a:graphic xmlns:a="http://schemas.openxmlformats.org/drawingml/2006/main">
                    <a:graphicData uri="http://schemas.openxmlformats.org/drawingml/2006/picture">
                      <pic:pic xmlns:pic="http://schemas.openxmlformats.org/drawingml/2006/picture">
                        <pic:nvPicPr>
                          <pic:cNvPr id="18027" name="Picture 18027"/>
                          <pic:cNvPicPr/>
                        </pic:nvPicPr>
                        <pic:blipFill>
                          <a:blip r:embed="rId187"/>
                          <a:stretch>
                            <a:fillRect/>
                          </a:stretch>
                        </pic:blipFill>
                        <pic:spPr>
                          <a:xfrm>
                            <a:off x="0" y="0"/>
                            <a:ext cx="278765" cy="278765"/>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9"/>
              </w:rPr>
              <w:t xml:space="preserve"> </w:t>
            </w:r>
          </w:p>
          <w:p w:rsidR="0076001D" w:rsidRDefault="0034129A">
            <w:pPr>
              <w:spacing w:after="0" w:line="259" w:lineRule="auto"/>
              <w:ind w:left="106" w:right="93" w:firstLine="0"/>
            </w:pPr>
            <w:r>
              <w:rPr>
                <w:sz w:val="20"/>
              </w:rPr>
              <w:t xml:space="preserve">En las pruebas realizadas y en la revisión de las políticas del firewall y antivirus se evidencio el bloqueo de este tipo de software. </w:t>
            </w:r>
          </w:p>
        </w:tc>
      </w:tr>
      <w:tr w:rsidR="0076001D">
        <w:trPr>
          <w:trHeight w:val="1390"/>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36"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7"/>
              </w:rPr>
              <w:t xml:space="preserve"> </w:t>
            </w:r>
          </w:p>
          <w:p w:rsidR="0076001D" w:rsidRDefault="0034129A">
            <w:pPr>
              <w:spacing w:after="0" w:line="259" w:lineRule="auto"/>
              <w:ind w:left="34" w:firstLine="0"/>
            </w:pPr>
            <w:r>
              <w:rPr>
                <w:sz w:val="20"/>
              </w:rPr>
              <w:t xml:space="preserve">11.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89" w:firstLine="0"/>
            </w:pPr>
            <w:r>
              <w:rPr>
                <w:sz w:val="20"/>
              </w:rPr>
              <w:t xml:space="preserve">Como parte de la implementación del MSPI dominio 8 Gestión de Activos, fortalecer el inventario de activos de información del instituto ya que el inventario actual se limita a Hardware y Software base y no incluye  otros activos  de  información  críticos  tales como: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22"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107" w:firstLine="0"/>
              <w:jc w:val="left"/>
            </w:pPr>
            <w:r>
              <w:rPr>
                <w:noProof/>
                <w:lang w:val="es-ES" w:eastAsia="es-ES"/>
              </w:rPr>
              <w:drawing>
                <wp:inline distT="0" distB="0" distL="0" distR="0">
                  <wp:extent cx="267170" cy="280670"/>
                  <wp:effectExtent l="0" t="0" r="0" b="0"/>
                  <wp:docPr id="18029" name="Picture 18029"/>
                  <wp:cNvGraphicFramePr/>
                  <a:graphic xmlns:a="http://schemas.openxmlformats.org/drawingml/2006/main">
                    <a:graphicData uri="http://schemas.openxmlformats.org/drawingml/2006/picture">
                      <pic:pic xmlns:pic="http://schemas.openxmlformats.org/drawingml/2006/picture">
                        <pic:nvPicPr>
                          <pic:cNvPr id="18029" name="Picture 18029"/>
                          <pic:cNvPicPr/>
                        </pic:nvPicPr>
                        <pic:blipFill>
                          <a:blip r:embed="rId186"/>
                          <a:stretch>
                            <a:fillRect/>
                          </a:stretch>
                        </pic:blipFill>
                        <pic:spPr>
                          <a:xfrm>
                            <a:off x="0" y="0"/>
                            <a:ext cx="267170" cy="280670"/>
                          </a:xfrm>
                          <a:prstGeom prst="rect">
                            <a:avLst/>
                          </a:prstGeom>
                        </pic:spPr>
                      </pic:pic>
                    </a:graphicData>
                  </a:graphic>
                </wp:inline>
              </w:drawing>
            </w:r>
            <w:r>
              <w:rPr>
                <w:rFonts w:ascii="Times New Roman" w:eastAsia="Times New Roman" w:hAnsi="Times New Roman" w:cs="Times New Roman"/>
                <w:sz w:val="20"/>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8" w:firstLine="0"/>
            </w:pPr>
            <w:r>
              <w:rPr>
                <w:sz w:val="20"/>
              </w:rPr>
              <w:t xml:space="preserve">Ya se actualizo FT-GT-12-19 inventario activos de información tipo software, hardware y servicios Idep, en el cual se incluyen la clasificación y características mencionadas en la recomendación,     sin     embargo,     se     debe complementar con todo el software autorizado e </w:t>
            </w:r>
          </w:p>
        </w:tc>
      </w:tr>
    </w:tbl>
    <w:p w:rsidR="0076001D" w:rsidRDefault="0076001D">
      <w:pPr>
        <w:spacing w:after="0" w:line="259" w:lineRule="auto"/>
        <w:ind w:left="-1159" w:right="57" w:firstLine="0"/>
        <w:jc w:val="left"/>
      </w:pPr>
    </w:p>
    <w:tbl>
      <w:tblPr>
        <w:tblStyle w:val="TableGrid"/>
        <w:tblW w:w="9888" w:type="dxa"/>
        <w:tblInd w:w="164" w:type="dxa"/>
        <w:tblCellMar>
          <w:top w:w="3" w:type="dxa"/>
          <w:left w:w="5" w:type="dxa"/>
          <w:right w:w="19" w:type="dxa"/>
        </w:tblCellMar>
        <w:tblLook w:val="04A0" w:firstRow="1" w:lastRow="0" w:firstColumn="1" w:lastColumn="0" w:noHBand="0" w:noVBand="1"/>
      </w:tblPr>
      <w:tblGrid>
        <w:gridCol w:w="389"/>
        <w:gridCol w:w="4254"/>
        <w:gridCol w:w="710"/>
        <w:gridCol w:w="4535"/>
      </w:tblGrid>
      <w:tr w:rsidR="0076001D">
        <w:trPr>
          <w:trHeight w:val="257"/>
        </w:trPr>
        <w:tc>
          <w:tcPr>
            <w:tcW w:w="389"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0" w:firstLine="0"/>
              <w:jc w:val="left"/>
            </w:pPr>
            <w:r>
              <w:rPr>
                <w:b/>
                <w:sz w:val="20"/>
              </w:rPr>
              <w:lastRenderedPageBreak/>
              <w:t xml:space="preserve">N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9" w:firstLine="0"/>
              <w:jc w:val="center"/>
            </w:pPr>
            <w:r>
              <w:rPr>
                <w:b/>
                <w:sz w:val="20"/>
              </w:rPr>
              <w:t xml:space="preserve">OBSERVACIÓN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453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6" w:firstLine="0"/>
              <w:jc w:val="center"/>
            </w:pPr>
            <w:r>
              <w:rPr>
                <w:b/>
                <w:sz w:val="20"/>
              </w:rPr>
              <w:t xml:space="preserve">SEGUIMIENTO </w:t>
            </w:r>
          </w:p>
        </w:tc>
      </w:tr>
      <w:tr w:rsidR="0076001D">
        <w:trPr>
          <w:trHeight w:val="4154"/>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8"/>
              </w:rPr>
              <w:t xml:space="preserve">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90" w:firstLine="0"/>
            </w:pPr>
            <w:proofErr w:type="gramStart"/>
            <w:r>
              <w:rPr>
                <w:sz w:val="20"/>
              </w:rPr>
              <w:t>bases</w:t>
            </w:r>
            <w:proofErr w:type="gramEnd"/>
            <w:r>
              <w:rPr>
                <w:sz w:val="20"/>
              </w:rPr>
              <w:t xml:space="preserve"> de datos, documentos confidenciales, ficheros, aplicaciones, herramientas de desarrollo, publicación de contenidos, entre otros. </w:t>
            </w:r>
          </w:p>
          <w:p w:rsidR="0076001D" w:rsidRDefault="0034129A">
            <w:pPr>
              <w:spacing w:after="0" w:line="241" w:lineRule="auto"/>
              <w:ind w:left="108" w:right="85" w:firstLine="0"/>
            </w:pPr>
            <w:r>
              <w:rPr>
                <w:sz w:val="20"/>
              </w:rPr>
              <w:t xml:space="preserve">Cada uno de los activos mencionados debe tener un responsable y calificación de criticidad de la información con base en su: Disponibilidad (importancia que tiene la ausencia del activo), Integridad (qué repercusiones tendría la modificación de este activo sin autorización) y confidencialidad. Vale aclarar que el inventario de activos de acuerdo con los lineamientos MSPI en concordancia con ISO 27001:2013 debe incluir todo aquel software autorizado para ser usado en la empresa </w:t>
            </w:r>
          </w:p>
          <w:p w:rsidR="0076001D" w:rsidRDefault="0034129A">
            <w:pPr>
              <w:spacing w:after="0" w:line="259" w:lineRule="auto"/>
              <w:ind w:left="108" w:firstLine="0"/>
              <w:jc w:val="left"/>
            </w:pPr>
            <w:proofErr w:type="gramStart"/>
            <w:r>
              <w:rPr>
                <w:sz w:val="20"/>
              </w:rPr>
              <w:t>independientemente</w:t>
            </w:r>
            <w:proofErr w:type="gramEnd"/>
            <w:r>
              <w:rPr>
                <w:sz w:val="20"/>
              </w:rPr>
              <w:t xml:space="preserve"> de que sea software libre.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6" w:firstLine="0"/>
            </w:pPr>
            <w:proofErr w:type="gramStart"/>
            <w:r>
              <w:rPr>
                <w:sz w:val="20"/>
              </w:rPr>
              <w:t>instalado</w:t>
            </w:r>
            <w:proofErr w:type="gramEnd"/>
            <w:r>
              <w:rPr>
                <w:sz w:val="20"/>
              </w:rPr>
              <w:t xml:space="preserve"> en los equipos de la entidad. En los reportes de </w:t>
            </w:r>
            <w:proofErr w:type="gramStart"/>
            <w:r>
              <w:rPr>
                <w:sz w:val="20"/>
              </w:rPr>
              <w:t>aplicaciones instaladas generado</w:t>
            </w:r>
            <w:proofErr w:type="gramEnd"/>
            <w:r>
              <w:rPr>
                <w:sz w:val="20"/>
              </w:rPr>
              <w:t xml:space="preserve"> durante la auditoria desde la consola del antivirus se evidencia la presencia de software no incluido en este formato. </w:t>
            </w:r>
          </w:p>
        </w:tc>
      </w:tr>
      <w:tr w:rsidR="0076001D">
        <w:trPr>
          <w:trHeight w:val="1387"/>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31"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7"/>
              </w:rPr>
              <w:t xml:space="preserve"> </w:t>
            </w:r>
          </w:p>
          <w:p w:rsidR="0076001D" w:rsidRDefault="0034129A">
            <w:pPr>
              <w:spacing w:after="0" w:line="259" w:lineRule="auto"/>
              <w:ind w:left="31" w:firstLine="0"/>
            </w:pPr>
            <w:r>
              <w:rPr>
                <w:sz w:val="20"/>
              </w:rPr>
              <w:t xml:space="preserve">12.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85" w:firstLine="0"/>
            </w:pPr>
            <w:r>
              <w:rPr>
                <w:sz w:val="20"/>
              </w:rPr>
              <w:t xml:space="preserve">Configurar correctamente las </w:t>
            </w:r>
            <w:proofErr w:type="spellStart"/>
            <w:r>
              <w:rPr>
                <w:sz w:val="20"/>
              </w:rPr>
              <w:t>VLAN´s</w:t>
            </w:r>
            <w:proofErr w:type="spellEnd"/>
            <w:r>
              <w:rPr>
                <w:sz w:val="20"/>
              </w:rPr>
              <w:t xml:space="preserve"> para evitar que se realicen escaneos a direcciones IP diferentes a la del segmento en la que se encuentra configurado cada equipo, incluyendo el segmento de la WIFI de invitados.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22"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107" w:firstLine="0"/>
              <w:jc w:val="left"/>
            </w:pPr>
            <w:r>
              <w:rPr>
                <w:noProof/>
                <w:lang w:val="es-ES" w:eastAsia="es-ES"/>
              </w:rPr>
              <w:drawing>
                <wp:inline distT="0" distB="0" distL="0" distR="0">
                  <wp:extent cx="267170" cy="280670"/>
                  <wp:effectExtent l="0" t="0" r="0" b="0"/>
                  <wp:docPr id="18392" name="Picture 18392"/>
                  <wp:cNvGraphicFramePr/>
                  <a:graphic xmlns:a="http://schemas.openxmlformats.org/drawingml/2006/main">
                    <a:graphicData uri="http://schemas.openxmlformats.org/drawingml/2006/picture">
                      <pic:pic xmlns:pic="http://schemas.openxmlformats.org/drawingml/2006/picture">
                        <pic:nvPicPr>
                          <pic:cNvPr id="18392" name="Picture 18392"/>
                          <pic:cNvPicPr/>
                        </pic:nvPicPr>
                        <pic:blipFill>
                          <a:blip r:embed="rId186"/>
                          <a:stretch>
                            <a:fillRect/>
                          </a:stretch>
                        </pic:blipFill>
                        <pic:spPr>
                          <a:xfrm>
                            <a:off x="0" y="0"/>
                            <a:ext cx="267170" cy="280670"/>
                          </a:xfrm>
                          <a:prstGeom prst="rect">
                            <a:avLst/>
                          </a:prstGeom>
                        </pic:spPr>
                      </pic:pic>
                    </a:graphicData>
                  </a:graphic>
                </wp:inline>
              </w:drawing>
            </w:r>
            <w:r>
              <w:rPr>
                <w:rFonts w:ascii="Times New Roman" w:eastAsia="Times New Roman" w:hAnsi="Times New Roman" w:cs="Times New Roman"/>
                <w:sz w:val="20"/>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9" w:firstLine="0"/>
            </w:pPr>
            <w:r>
              <w:rPr>
                <w:sz w:val="20"/>
              </w:rPr>
              <w:t xml:space="preserve">Aun se pueden hacer escaneos sobre los servidores como se muestra en las imágenes de escaneos registradas en este informe. En cuanto a la WIFI </w:t>
            </w:r>
            <w:proofErr w:type="gramStart"/>
            <w:r>
              <w:rPr>
                <w:sz w:val="20"/>
              </w:rPr>
              <w:t>publica</w:t>
            </w:r>
            <w:proofErr w:type="gramEnd"/>
            <w:r>
              <w:rPr>
                <w:sz w:val="20"/>
              </w:rPr>
              <w:t xml:space="preserve"> de acuerdo al esquema de red se muestra correctamente aislada. </w:t>
            </w:r>
          </w:p>
        </w:tc>
      </w:tr>
      <w:tr w:rsidR="0076001D">
        <w:trPr>
          <w:trHeight w:val="704"/>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20"/>
              </w:rPr>
              <w:t xml:space="preserve"> </w:t>
            </w:r>
          </w:p>
          <w:p w:rsidR="0076001D" w:rsidRDefault="0034129A">
            <w:pPr>
              <w:spacing w:after="0" w:line="259" w:lineRule="auto"/>
              <w:ind w:left="31" w:firstLine="0"/>
            </w:pPr>
            <w:r>
              <w:rPr>
                <w:sz w:val="20"/>
              </w:rPr>
              <w:t xml:space="preserve">13.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89" w:firstLine="0"/>
            </w:pPr>
            <w:r>
              <w:rPr>
                <w:sz w:val="20"/>
              </w:rPr>
              <w:t xml:space="preserve">Configurar la red y el DHCP para restringir la conexión al dominio solo a equipos cuya Mac </w:t>
            </w:r>
            <w:proofErr w:type="spellStart"/>
            <w:r>
              <w:rPr>
                <w:sz w:val="20"/>
              </w:rPr>
              <w:t>Address</w:t>
            </w:r>
            <w:proofErr w:type="spellEnd"/>
            <w:r>
              <w:rPr>
                <w:sz w:val="20"/>
              </w:rPr>
              <w:t xml:space="preserve"> este registrada en la lista autorizada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40" w:firstLine="0"/>
              <w:jc w:val="left"/>
            </w:pPr>
            <w:r>
              <w:rPr>
                <w:noProof/>
                <w:lang w:val="es-ES" w:eastAsia="es-ES"/>
              </w:rPr>
              <w:drawing>
                <wp:inline distT="0" distB="0" distL="0" distR="0">
                  <wp:extent cx="248920" cy="248831"/>
                  <wp:effectExtent l="0" t="0" r="0" b="0"/>
                  <wp:docPr id="18394" name="Picture 18394"/>
                  <wp:cNvGraphicFramePr/>
                  <a:graphic xmlns:a="http://schemas.openxmlformats.org/drawingml/2006/main">
                    <a:graphicData uri="http://schemas.openxmlformats.org/drawingml/2006/picture">
                      <pic:pic xmlns:pic="http://schemas.openxmlformats.org/drawingml/2006/picture">
                        <pic:nvPicPr>
                          <pic:cNvPr id="18394" name="Picture 18394"/>
                          <pic:cNvPicPr/>
                        </pic:nvPicPr>
                        <pic:blipFill>
                          <a:blip r:embed="rId188"/>
                          <a:stretch>
                            <a:fillRect/>
                          </a:stretch>
                        </pic:blipFill>
                        <pic:spPr>
                          <a:xfrm>
                            <a:off x="0" y="0"/>
                            <a:ext cx="248920" cy="248831"/>
                          </a:xfrm>
                          <a:prstGeom prst="rect">
                            <a:avLst/>
                          </a:prstGeom>
                        </pic:spPr>
                      </pic:pic>
                    </a:graphicData>
                  </a:graphic>
                </wp:inline>
              </w:drawing>
            </w:r>
            <w:r>
              <w:rPr>
                <w:rFonts w:ascii="Times New Roman" w:eastAsia="Times New Roman" w:hAnsi="Times New Roman" w:cs="Times New Roman"/>
                <w:sz w:val="20"/>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9" w:firstLine="0"/>
            </w:pPr>
            <w:r>
              <w:rPr>
                <w:sz w:val="20"/>
              </w:rPr>
              <w:t xml:space="preserve">En la configuración del DHCP en el firewall no se evidencia la restricción a Mac </w:t>
            </w:r>
            <w:proofErr w:type="spellStart"/>
            <w:r>
              <w:rPr>
                <w:sz w:val="20"/>
              </w:rPr>
              <w:t>Address</w:t>
            </w:r>
            <w:proofErr w:type="spellEnd"/>
            <w:r>
              <w:rPr>
                <w:sz w:val="20"/>
              </w:rPr>
              <w:t xml:space="preserve"> autorizadas de equipos de usuario. </w:t>
            </w:r>
          </w:p>
        </w:tc>
      </w:tr>
      <w:tr w:rsidR="0076001D">
        <w:trPr>
          <w:trHeight w:val="1903"/>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33"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8"/>
              </w:rPr>
              <w:t xml:space="preserve"> </w:t>
            </w:r>
          </w:p>
          <w:p w:rsidR="0076001D" w:rsidRDefault="0034129A">
            <w:pPr>
              <w:spacing w:after="0" w:line="259" w:lineRule="auto"/>
              <w:ind w:left="31" w:firstLine="0"/>
            </w:pPr>
            <w:r>
              <w:rPr>
                <w:sz w:val="20"/>
              </w:rPr>
              <w:t xml:space="preserve">14.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11" w:line="239" w:lineRule="auto"/>
              <w:ind w:left="108" w:right="4" w:firstLine="0"/>
              <w:jc w:val="left"/>
            </w:pPr>
            <w:r>
              <w:rPr>
                <w:sz w:val="20"/>
              </w:rPr>
              <w:t xml:space="preserve">Configurar las restricciones de seguridad de G Suite en cuanto a: </w:t>
            </w:r>
          </w:p>
          <w:p w:rsidR="0076001D" w:rsidRDefault="0034129A">
            <w:pPr>
              <w:numPr>
                <w:ilvl w:val="0"/>
                <w:numId w:val="45"/>
              </w:numPr>
              <w:spacing w:after="0" w:line="259" w:lineRule="auto"/>
              <w:ind w:hanging="218"/>
              <w:jc w:val="left"/>
            </w:pPr>
            <w:r>
              <w:rPr>
                <w:sz w:val="20"/>
              </w:rPr>
              <w:t xml:space="preserve">Cambio periódico de contraseñas </w:t>
            </w:r>
          </w:p>
          <w:p w:rsidR="0076001D" w:rsidRDefault="0034129A">
            <w:pPr>
              <w:numPr>
                <w:ilvl w:val="0"/>
                <w:numId w:val="45"/>
              </w:numPr>
              <w:spacing w:after="0" w:line="259" w:lineRule="auto"/>
              <w:ind w:hanging="218"/>
              <w:jc w:val="left"/>
            </w:pPr>
            <w:r>
              <w:rPr>
                <w:sz w:val="20"/>
              </w:rPr>
              <w:t xml:space="preserve">No repetición de las ultimas 8 contraseñas </w:t>
            </w:r>
          </w:p>
          <w:p w:rsidR="0076001D" w:rsidRDefault="0034129A">
            <w:pPr>
              <w:numPr>
                <w:ilvl w:val="0"/>
                <w:numId w:val="45"/>
              </w:numPr>
              <w:spacing w:after="13" w:line="241" w:lineRule="auto"/>
              <w:ind w:hanging="218"/>
              <w:jc w:val="left"/>
            </w:pPr>
            <w:r>
              <w:rPr>
                <w:sz w:val="20"/>
              </w:rPr>
              <w:t xml:space="preserve">Alertas de ingreso en equipos distintos a los usuales a un correo alternativo </w:t>
            </w:r>
          </w:p>
          <w:p w:rsidR="0076001D" w:rsidRDefault="0034129A">
            <w:pPr>
              <w:numPr>
                <w:ilvl w:val="0"/>
                <w:numId w:val="45"/>
              </w:numPr>
              <w:spacing w:after="0" w:line="259" w:lineRule="auto"/>
              <w:ind w:hanging="218"/>
              <w:jc w:val="left"/>
            </w:pPr>
            <w:r>
              <w:rPr>
                <w:sz w:val="20"/>
              </w:rPr>
              <w:t xml:space="preserve">Configurar correctamente la autenticación de doble factor (pre-registro)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07" w:firstLine="0"/>
              <w:jc w:val="left"/>
            </w:pPr>
            <w:r>
              <w:rPr>
                <w:noProof/>
                <w:lang w:val="es-ES" w:eastAsia="es-ES"/>
              </w:rPr>
              <w:drawing>
                <wp:inline distT="0" distB="0" distL="0" distR="0">
                  <wp:extent cx="278765" cy="278765"/>
                  <wp:effectExtent l="0" t="0" r="0" b="0"/>
                  <wp:docPr id="18396" name="Picture 18396"/>
                  <wp:cNvGraphicFramePr/>
                  <a:graphic xmlns:a="http://schemas.openxmlformats.org/drawingml/2006/main">
                    <a:graphicData uri="http://schemas.openxmlformats.org/drawingml/2006/picture">
                      <pic:pic xmlns:pic="http://schemas.openxmlformats.org/drawingml/2006/picture">
                        <pic:nvPicPr>
                          <pic:cNvPr id="18396" name="Picture 18396"/>
                          <pic:cNvPicPr/>
                        </pic:nvPicPr>
                        <pic:blipFill>
                          <a:blip r:embed="rId187"/>
                          <a:stretch>
                            <a:fillRect/>
                          </a:stretch>
                        </pic:blipFill>
                        <pic:spPr>
                          <a:xfrm>
                            <a:off x="0" y="0"/>
                            <a:ext cx="278765" cy="278765"/>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firstLine="0"/>
            </w:pPr>
            <w:r>
              <w:rPr>
                <w:sz w:val="20"/>
              </w:rPr>
              <w:t xml:space="preserve">Ya se encuentran implementadas las restricciones recomendadas. </w:t>
            </w:r>
          </w:p>
        </w:tc>
      </w:tr>
      <w:tr w:rsidR="0076001D">
        <w:trPr>
          <w:trHeight w:val="1618"/>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39"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31" w:firstLine="0"/>
            </w:pPr>
            <w:r>
              <w:rPr>
                <w:sz w:val="20"/>
              </w:rPr>
              <w:t xml:space="preserve">15.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86" w:firstLine="0"/>
            </w:pPr>
            <w:r>
              <w:rPr>
                <w:sz w:val="20"/>
              </w:rPr>
              <w:t xml:space="preserve">Fortalecer la configuración de las políticas de firewall y las políticas de dominio para impedir descargas de archivos ejecutables. La restricción debe ser general independientemente del cargo del usuario. Todo archivo ejecutable que se requiera debe ser autorizado por la OAP.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07" w:firstLine="0"/>
              <w:jc w:val="left"/>
            </w:pPr>
            <w:r>
              <w:rPr>
                <w:noProof/>
                <w:lang w:val="es-ES" w:eastAsia="es-ES"/>
              </w:rPr>
              <w:drawing>
                <wp:inline distT="0" distB="0" distL="0" distR="0">
                  <wp:extent cx="278765" cy="278765"/>
                  <wp:effectExtent l="0" t="0" r="0" b="0"/>
                  <wp:docPr id="18398" name="Picture 18398"/>
                  <wp:cNvGraphicFramePr/>
                  <a:graphic xmlns:a="http://schemas.openxmlformats.org/drawingml/2006/main">
                    <a:graphicData uri="http://schemas.openxmlformats.org/drawingml/2006/picture">
                      <pic:pic xmlns:pic="http://schemas.openxmlformats.org/drawingml/2006/picture">
                        <pic:nvPicPr>
                          <pic:cNvPr id="18398" name="Picture 18398"/>
                          <pic:cNvPicPr/>
                        </pic:nvPicPr>
                        <pic:blipFill>
                          <a:blip r:embed="rId187"/>
                          <a:stretch>
                            <a:fillRect/>
                          </a:stretch>
                        </pic:blipFill>
                        <pic:spPr>
                          <a:xfrm>
                            <a:off x="0" y="0"/>
                            <a:ext cx="278765" cy="278765"/>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8" w:firstLine="0"/>
            </w:pPr>
            <w:r>
              <w:rPr>
                <w:sz w:val="20"/>
              </w:rPr>
              <w:t xml:space="preserve">En el equipo y con el usuario asignado a la auditoria se evidencia en funcionamiento de las políticas recomendadas. No se realizaron pruebas a otros equipos y/o usuarios debido a la imposibilidad de realizar visitas presenciales. </w:t>
            </w:r>
          </w:p>
        </w:tc>
      </w:tr>
      <w:tr w:rsidR="0076001D">
        <w:trPr>
          <w:trHeight w:val="1392"/>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33"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7"/>
              </w:rPr>
              <w:t xml:space="preserve"> </w:t>
            </w:r>
          </w:p>
          <w:p w:rsidR="0076001D" w:rsidRDefault="0034129A">
            <w:pPr>
              <w:spacing w:after="0" w:line="259" w:lineRule="auto"/>
              <w:ind w:left="31" w:firstLine="0"/>
            </w:pPr>
            <w:r>
              <w:rPr>
                <w:sz w:val="20"/>
              </w:rPr>
              <w:t xml:space="preserve">16.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1" w:lineRule="auto"/>
              <w:ind w:left="108" w:right="86" w:firstLine="0"/>
            </w:pPr>
            <w:r>
              <w:rPr>
                <w:sz w:val="20"/>
              </w:rPr>
              <w:t xml:space="preserve">Instalar una herramienta gratuita que escanee periódicamente los recursos compartidos en la red e identifique cuales se encuentran sin protección y configurar las debidas restricciones de acceso (ejemplo: </w:t>
            </w:r>
          </w:p>
          <w:p w:rsidR="0076001D" w:rsidRDefault="0034129A">
            <w:pPr>
              <w:spacing w:after="0" w:line="259" w:lineRule="auto"/>
              <w:ind w:left="108" w:firstLine="0"/>
              <w:jc w:val="left"/>
            </w:pPr>
            <w:proofErr w:type="gramStart"/>
            <w:r>
              <w:rPr>
                <w:sz w:val="20"/>
              </w:rPr>
              <w:t>esencial</w:t>
            </w:r>
            <w:proofErr w:type="gramEnd"/>
            <w:r>
              <w:rPr>
                <w:sz w:val="20"/>
              </w:rPr>
              <w:t xml:space="preserve"> </w:t>
            </w:r>
            <w:proofErr w:type="spellStart"/>
            <w:r>
              <w:rPr>
                <w:sz w:val="20"/>
              </w:rPr>
              <w:t>nettools</w:t>
            </w:r>
            <w:proofErr w:type="spellEnd"/>
            <w:r>
              <w:rPr>
                <w:sz w:val="20"/>
              </w:rPr>
              <w:t xml:space="preserve">, </w:t>
            </w:r>
            <w:proofErr w:type="spellStart"/>
            <w:r>
              <w:rPr>
                <w:sz w:val="20"/>
              </w:rPr>
              <w:t>NetShareWatcher</w:t>
            </w:r>
            <w:proofErr w:type="spellEnd"/>
            <w:r>
              <w:rPr>
                <w:sz w:val="20"/>
              </w:rPr>
              <w:t xml:space="preserve">, etc.)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40" w:firstLine="0"/>
              <w:jc w:val="left"/>
            </w:pPr>
            <w:r>
              <w:rPr>
                <w:noProof/>
                <w:lang w:val="es-ES" w:eastAsia="es-ES"/>
              </w:rPr>
              <w:drawing>
                <wp:inline distT="0" distB="0" distL="0" distR="0">
                  <wp:extent cx="248920" cy="248831"/>
                  <wp:effectExtent l="0" t="0" r="0" b="0"/>
                  <wp:docPr id="18400" name="Picture 18400"/>
                  <wp:cNvGraphicFramePr/>
                  <a:graphic xmlns:a="http://schemas.openxmlformats.org/drawingml/2006/main">
                    <a:graphicData uri="http://schemas.openxmlformats.org/drawingml/2006/picture">
                      <pic:pic xmlns:pic="http://schemas.openxmlformats.org/drawingml/2006/picture">
                        <pic:nvPicPr>
                          <pic:cNvPr id="18400" name="Picture 18400"/>
                          <pic:cNvPicPr/>
                        </pic:nvPicPr>
                        <pic:blipFill>
                          <a:blip r:embed="rId188"/>
                          <a:stretch>
                            <a:fillRect/>
                          </a:stretch>
                        </pic:blipFill>
                        <pic:spPr>
                          <a:xfrm>
                            <a:off x="0" y="0"/>
                            <a:ext cx="248920" cy="248831"/>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7" w:firstLine="0"/>
            </w:pPr>
            <w:r>
              <w:rPr>
                <w:sz w:val="20"/>
              </w:rPr>
              <w:t xml:space="preserve">No se evidencio el uso de este tipo de herramientas como parte de las revisiones de seguridad del área. </w:t>
            </w:r>
          </w:p>
        </w:tc>
      </w:tr>
      <w:tr w:rsidR="0076001D">
        <w:trPr>
          <w:trHeight w:val="701"/>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sz w:val="19"/>
              </w:rPr>
              <w:lastRenderedPageBreak/>
              <w:t xml:space="preserve"> </w:t>
            </w:r>
          </w:p>
          <w:p w:rsidR="0076001D" w:rsidRDefault="0034129A">
            <w:pPr>
              <w:spacing w:after="0" w:line="259" w:lineRule="auto"/>
              <w:ind w:left="31" w:firstLine="0"/>
            </w:pPr>
            <w:r>
              <w:rPr>
                <w:sz w:val="20"/>
              </w:rPr>
              <w:t xml:space="preserve">17.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87" w:firstLine="0"/>
            </w:pPr>
            <w:r>
              <w:rPr>
                <w:sz w:val="20"/>
              </w:rPr>
              <w:t xml:space="preserve">Restringir en todos los equipos de escritorio y portátiles el acceso al panel de control y en especial al centro de redes. </w:t>
            </w:r>
          </w:p>
        </w:tc>
        <w:tc>
          <w:tcPr>
            <w:tcW w:w="710"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0" w:right="90" w:firstLine="0"/>
              <w:jc w:val="right"/>
            </w:pPr>
            <w:r>
              <w:rPr>
                <w:noProof/>
                <w:lang w:val="es-ES" w:eastAsia="es-ES"/>
              </w:rPr>
              <w:drawing>
                <wp:inline distT="0" distB="0" distL="0" distR="0">
                  <wp:extent cx="278765" cy="278765"/>
                  <wp:effectExtent l="0" t="0" r="0" b="0"/>
                  <wp:docPr id="18402" name="Picture 18402"/>
                  <wp:cNvGraphicFramePr/>
                  <a:graphic xmlns:a="http://schemas.openxmlformats.org/drawingml/2006/main">
                    <a:graphicData uri="http://schemas.openxmlformats.org/drawingml/2006/picture">
                      <pic:pic xmlns:pic="http://schemas.openxmlformats.org/drawingml/2006/picture">
                        <pic:nvPicPr>
                          <pic:cNvPr id="18402" name="Picture 18402"/>
                          <pic:cNvPicPr/>
                        </pic:nvPicPr>
                        <pic:blipFill>
                          <a:blip r:embed="rId187"/>
                          <a:stretch>
                            <a:fillRect/>
                          </a:stretch>
                        </pic:blipFill>
                        <pic:spPr>
                          <a:xfrm>
                            <a:off x="0" y="0"/>
                            <a:ext cx="278765" cy="278765"/>
                          </a:xfrm>
                          <a:prstGeom prst="rect">
                            <a:avLst/>
                          </a:prstGeom>
                        </pic:spPr>
                      </pic:pic>
                    </a:graphicData>
                  </a:graphic>
                </wp:inline>
              </w:drawing>
            </w:r>
            <w:r>
              <w:rPr>
                <w:rFonts w:ascii="Times New Roman" w:eastAsia="Times New Roman" w:hAnsi="Times New Roman" w:cs="Times New Roman"/>
                <w:sz w:val="20"/>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90" w:firstLine="0"/>
            </w:pPr>
            <w:r>
              <w:rPr>
                <w:sz w:val="20"/>
              </w:rPr>
              <w:t xml:space="preserve">En </w:t>
            </w:r>
            <w:proofErr w:type="gramStart"/>
            <w:r>
              <w:rPr>
                <w:sz w:val="20"/>
              </w:rPr>
              <w:t>la pruebas</w:t>
            </w:r>
            <w:proofErr w:type="gramEnd"/>
            <w:r>
              <w:rPr>
                <w:sz w:val="20"/>
              </w:rPr>
              <w:t xml:space="preserve"> y revisión de las políticas de dominio se comprobó el funcionamiento de esta recomendación. </w:t>
            </w:r>
          </w:p>
        </w:tc>
      </w:tr>
    </w:tbl>
    <w:p w:rsidR="0076001D" w:rsidRDefault="0076001D">
      <w:pPr>
        <w:spacing w:after="0" w:line="259" w:lineRule="auto"/>
        <w:ind w:left="-1159" w:right="57" w:firstLine="0"/>
        <w:jc w:val="left"/>
      </w:pPr>
    </w:p>
    <w:tbl>
      <w:tblPr>
        <w:tblStyle w:val="TableGrid"/>
        <w:tblW w:w="9888" w:type="dxa"/>
        <w:tblInd w:w="164" w:type="dxa"/>
        <w:tblCellMar>
          <w:top w:w="6" w:type="dxa"/>
          <w:left w:w="5" w:type="dxa"/>
          <w:right w:w="19" w:type="dxa"/>
        </w:tblCellMar>
        <w:tblLook w:val="04A0" w:firstRow="1" w:lastRow="0" w:firstColumn="1" w:lastColumn="0" w:noHBand="0" w:noVBand="1"/>
      </w:tblPr>
      <w:tblGrid>
        <w:gridCol w:w="389"/>
        <w:gridCol w:w="4254"/>
        <w:gridCol w:w="710"/>
        <w:gridCol w:w="4535"/>
      </w:tblGrid>
      <w:tr w:rsidR="0076001D">
        <w:trPr>
          <w:trHeight w:val="257"/>
        </w:trPr>
        <w:tc>
          <w:tcPr>
            <w:tcW w:w="389"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0" w:firstLine="0"/>
              <w:jc w:val="left"/>
            </w:pPr>
            <w:r>
              <w:rPr>
                <w:b/>
                <w:sz w:val="20"/>
              </w:rPr>
              <w:t xml:space="preserve">N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9" w:firstLine="0"/>
              <w:jc w:val="center"/>
            </w:pPr>
            <w:r>
              <w:rPr>
                <w:b/>
                <w:sz w:val="20"/>
              </w:rPr>
              <w:t xml:space="preserve">OBSERVACIÓN </w:t>
            </w:r>
          </w:p>
        </w:tc>
        <w:tc>
          <w:tcPr>
            <w:tcW w:w="71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 w:firstLine="0"/>
              <w:jc w:val="left"/>
            </w:pPr>
            <w:r>
              <w:rPr>
                <w:rFonts w:ascii="Times New Roman" w:eastAsia="Times New Roman" w:hAnsi="Times New Roman" w:cs="Times New Roman"/>
                <w:sz w:val="18"/>
              </w:rPr>
              <w:t xml:space="preserve"> </w:t>
            </w:r>
          </w:p>
        </w:tc>
        <w:tc>
          <w:tcPr>
            <w:tcW w:w="4535"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6" w:firstLine="0"/>
              <w:jc w:val="center"/>
            </w:pPr>
            <w:r>
              <w:rPr>
                <w:b/>
                <w:sz w:val="20"/>
              </w:rPr>
              <w:t xml:space="preserve">SEGUIMIENTO </w:t>
            </w:r>
          </w:p>
        </w:tc>
      </w:tr>
      <w:tr w:rsidR="0076001D">
        <w:trPr>
          <w:trHeight w:val="1160"/>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18"/>
              </w:rPr>
              <w:t xml:space="preserve"> </w:t>
            </w:r>
          </w:p>
          <w:p w:rsidR="0076001D" w:rsidRDefault="0034129A">
            <w:pPr>
              <w:spacing w:after="0" w:line="259" w:lineRule="auto"/>
              <w:ind w:left="31" w:firstLine="0"/>
            </w:pPr>
            <w:r>
              <w:rPr>
                <w:sz w:val="20"/>
              </w:rPr>
              <w:t xml:space="preserve">18.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90" w:firstLine="0"/>
            </w:pPr>
            <w:r>
              <w:rPr>
                <w:sz w:val="20"/>
              </w:rPr>
              <w:t xml:space="preserve">Por ningún motivo exponer información de claves de acceso en el sistema de </w:t>
            </w:r>
            <w:proofErr w:type="spellStart"/>
            <w:r>
              <w:rPr>
                <w:sz w:val="20"/>
              </w:rPr>
              <w:t>help</w:t>
            </w:r>
            <w:proofErr w:type="spellEnd"/>
            <w:r>
              <w:rPr>
                <w:sz w:val="20"/>
              </w:rPr>
              <w:t xml:space="preserve"> </w:t>
            </w:r>
            <w:proofErr w:type="spellStart"/>
            <w:r>
              <w:rPr>
                <w:sz w:val="20"/>
              </w:rPr>
              <w:t>desk</w:t>
            </w:r>
            <w:proofErr w:type="spellEnd"/>
            <w:r>
              <w:rPr>
                <w:sz w:val="20"/>
              </w:rPr>
              <w:t xml:space="preserve"> o en correos sin la verificación inmediata del cambio de credenciales.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right="140" w:firstLine="0"/>
              <w:jc w:val="right"/>
            </w:pPr>
            <w:r>
              <w:rPr>
                <w:noProof/>
                <w:lang w:val="es-ES" w:eastAsia="es-ES"/>
              </w:rPr>
              <w:drawing>
                <wp:inline distT="0" distB="0" distL="0" distR="0">
                  <wp:extent cx="278765" cy="278765"/>
                  <wp:effectExtent l="0" t="0" r="0" b="0"/>
                  <wp:docPr id="18704" name="Picture 18704"/>
                  <wp:cNvGraphicFramePr/>
                  <a:graphic xmlns:a="http://schemas.openxmlformats.org/drawingml/2006/main">
                    <a:graphicData uri="http://schemas.openxmlformats.org/drawingml/2006/picture">
                      <pic:pic xmlns:pic="http://schemas.openxmlformats.org/drawingml/2006/picture">
                        <pic:nvPicPr>
                          <pic:cNvPr id="18704" name="Picture 18704"/>
                          <pic:cNvPicPr/>
                        </pic:nvPicPr>
                        <pic:blipFill>
                          <a:blip r:embed="rId187"/>
                          <a:stretch>
                            <a:fillRect/>
                          </a:stretch>
                        </pic:blipFill>
                        <pic:spPr>
                          <a:xfrm>
                            <a:off x="0" y="0"/>
                            <a:ext cx="278765" cy="278765"/>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7" w:firstLine="0"/>
            </w:pPr>
            <w:r>
              <w:rPr>
                <w:sz w:val="20"/>
              </w:rPr>
              <w:t xml:space="preserve">Si bien aún se expone algunas contraseñas en correos, se está validando y obligando  el cambio de contraseña en los sistemas de información que lo permiten, cumpliendo con el objetivo de esta recomendación </w:t>
            </w:r>
          </w:p>
        </w:tc>
      </w:tr>
      <w:tr w:rsidR="0076001D">
        <w:trPr>
          <w:trHeight w:val="2081"/>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17"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31" w:firstLine="0"/>
            </w:pPr>
            <w:r>
              <w:rPr>
                <w:sz w:val="20"/>
              </w:rPr>
              <w:t xml:space="preserve">19.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87" w:firstLine="0"/>
            </w:pPr>
            <w:r>
              <w:rPr>
                <w:sz w:val="20"/>
              </w:rPr>
              <w:t xml:space="preserve">Revisar los niveles de acceso a la navegación en internet con el fin de garantizar que todos los usuarios tengan privilegios acordes con las funciones de su cargo. No es recomendable que en las oficinas se ingrese a correos personales, redes sociales, etc. a menos de que sean necesarios para la ejecución de sus funciones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27"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107" w:firstLine="0"/>
              <w:jc w:val="left"/>
            </w:pPr>
            <w:r>
              <w:rPr>
                <w:noProof/>
                <w:lang w:val="es-ES" w:eastAsia="es-ES"/>
              </w:rPr>
              <w:drawing>
                <wp:inline distT="0" distB="0" distL="0" distR="0">
                  <wp:extent cx="267170" cy="280670"/>
                  <wp:effectExtent l="0" t="0" r="0" b="0"/>
                  <wp:docPr id="18706" name="Picture 18706"/>
                  <wp:cNvGraphicFramePr/>
                  <a:graphic xmlns:a="http://schemas.openxmlformats.org/drawingml/2006/main">
                    <a:graphicData uri="http://schemas.openxmlformats.org/drawingml/2006/picture">
                      <pic:pic xmlns:pic="http://schemas.openxmlformats.org/drawingml/2006/picture">
                        <pic:nvPicPr>
                          <pic:cNvPr id="18706" name="Picture 18706"/>
                          <pic:cNvPicPr/>
                        </pic:nvPicPr>
                        <pic:blipFill>
                          <a:blip r:embed="rId186"/>
                          <a:stretch>
                            <a:fillRect/>
                          </a:stretch>
                        </pic:blipFill>
                        <pic:spPr>
                          <a:xfrm>
                            <a:off x="0" y="0"/>
                            <a:ext cx="267170" cy="280670"/>
                          </a:xfrm>
                          <a:prstGeom prst="rect">
                            <a:avLst/>
                          </a:prstGeom>
                        </pic:spPr>
                      </pic:pic>
                    </a:graphicData>
                  </a:graphic>
                </wp:inline>
              </w:drawing>
            </w:r>
            <w:r>
              <w:rPr>
                <w:rFonts w:ascii="Times New Roman" w:eastAsia="Times New Roman" w:hAnsi="Times New Roman" w:cs="Times New Roman"/>
                <w:sz w:val="20"/>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1" w:lineRule="auto"/>
              <w:ind w:left="106" w:right="88" w:firstLine="0"/>
            </w:pPr>
            <w:r>
              <w:rPr>
                <w:sz w:val="20"/>
              </w:rPr>
              <w:t xml:space="preserve">Se restructuraron los permisos en tres grupos de navegación, en el grupo de comunicaciones y VIP se permiten el uso de algunas redes sociales y de </w:t>
            </w:r>
            <w:proofErr w:type="spellStart"/>
            <w:r>
              <w:rPr>
                <w:sz w:val="20"/>
              </w:rPr>
              <w:t>streaming</w:t>
            </w:r>
            <w:proofErr w:type="spellEnd"/>
            <w:r>
              <w:rPr>
                <w:sz w:val="20"/>
              </w:rPr>
              <w:t xml:space="preserve">, necesarias para labores de las áreas. </w:t>
            </w:r>
          </w:p>
          <w:p w:rsidR="0076001D" w:rsidRDefault="0034129A">
            <w:pPr>
              <w:spacing w:after="0" w:line="259" w:lineRule="auto"/>
              <w:ind w:left="106" w:right="87" w:firstLine="0"/>
            </w:pPr>
            <w:r>
              <w:rPr>
                <w:sz w:val="20"/>
              </w:rPr>
              <w:t xml:space="preserve">En cuanto al uso de correos personales no se pudo realizar la verificación debido a la imposibilidad de revisar equipos diferentes al asignado a la auditoria. </w:t>
            </w:r>
          </w:p>
        </w:tc>
      </w:tr>
      <w:tr w:rsidR="0076001D">
        <w:trPr>
          <w:trHeight w:val="2770"/>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1"/>
              </w:rPr>
              <w:t xml:space="preserve"> </w:t>
            </w:r>
          </w:p>
          <w:p w:rsidR="0076001D" w:rsidRDefault="0034129A">
            <w:pPr>
              <w:spacing w:after="0" w:line="259" w:lineRule="auto"/>
              <w:ind w:left="31" w:firstLine="0"/>
            </w:pPr>
            <w:r>
              <w:rPr>
                <w:sz w:val="20"/>
              </w:rPr>
              <w:t xml:space="preserve">20.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91" w:firstLine="0"/>
            </w:pPr>
            <w:r>
              <w:rPr>
                <w:sz w:val="20"/>
              </w:rPr>
              <w:t xml:space="preserve">Establecer un plan para tomar control de la administración, configuración y control de cambios del sistema </w:t>
            </w:r>
            <w:proofErr w:type="spellStart"/>
            <w:r>
              <w:rPr>
                <w:sz w:val="20"/>
              </w:rPr>
              <w:t>Goobi</w:t>
            </w:r>
            <w:proofErr w:type="spellEnd"/>
            <w:r>
              <w:rPr>
                <w:sz w:val="20"/>
              </w:rPr>
              <w:t xml:space="preserve">. </w:t>
            </w:r>
          </w:p>
          <w:p w:rsidR="0076001D" w:rsidRDefault="0034129A">
            <w:pPr>
              <w:spacing w:after="0" w:line="241" w:lineRule="auto"/>
              <w:ind w:left="108" w:right="87" w:firstLine="0"/>
            </w:pPr>
            <w:r>
              <w:rPr>
                <w:sz w:val="20"/>
              </w:rPr>
              <w:t xml:space="preserve">Replantear la autorización de conectividad por VPN restringiendo el horario de conexión, asegurando el monitoreo durante la conexión y solicitar autorización antes de la conexión. Establecer un protocolo de cambios para que el IDEP ejecute los despliegues en producción con base en una entrega de </w:t>
            </w:r>
          </w:p>
          <w:p w:rsidR="0076001D" w:rsidRDefault="0034129A">
            <w:pPr>
              <w:spacing w:after="0" w:line="259" w:lineRule="auto"/>
              <w:ind w:left="108" w:right="858" w:firstLine="0"/>
            </w:pPr>
            <w:proofErr w:type="gramStart"/>
            <w:r>
              <w:rPr>
                <w:sz w:val="20"/>
              </w:rPr>
              <w:t>objetos</w:t>
            </w:r>
            <w:proofErr w:type="gramEnd"/>
            <w:r>
              <w:rPr>
                <w:sz w:val="20"/>
              </w:rPr>
              <w:t xml:space="preserve"> de despliegue, </w:t>
            </w:r>
            <w:proofErr w:type="spellStart"/>
            <w:r>
              <w:rPr>
                <w:sz w:val="20"/>
              </w:rPr>
              <w:t>minutograma</w:t>
            </w:r>
            <w:proofErr w:type="spellEnd"/>
            <w:r>
              <w:rPr>
                <w:sz w:val="20"/>
              </w:rPr>
              <w:t xml:space="preserve"> y procesos de </w:t>
            </w:r>
            <w:proofErr w:type="spellStart"/>
            <w:r>
              <w:rPr>
                <w:sz w:val="20"/>
              </w:rPr>
              <w:t>rollback</w:t>
            </w:r>
            <w:proofErr w:type="spellEnd"/>
            <w:r>
              <w:rPr>
                <w:sz w:val="20"/>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40" w:firstLine="0"/>
              <w:jc w:val="left"/>
            </w:pPr>
            <w:r>
              <w:rPr>
                <w:noProof/>
                <w:lang w:val="es-ES" w:eastAsia="es-ES"/>
              </w:rPr>
              <w:drawing>
                <wp:inline distT="0" distB="0" distL="0" distR="0">
                  <wp:extent cx="248920" cy="248831"/>
                  <wp:effectExtent l="0" t="0" r="0" b="0"/>
                  <wp:docPr id="18708" name="Picture 18708"/>
                  <wp:cNvGraphicFramePr/>
                  <a:graphic xmlns:a="http://schemas.openxmlformats.org/drawingml/2006/main">
                    <a:graphicData uri="http://schemas.openxmlformats.org/drawingml/2006/picture">
                      <pic:pic xmlns:pic="http://schemas.openxmlformats.org/drawingml/2006/picture">
                        <pic:nvPicPr>
                          <pic:cNvPr id="18708" name="Picture 18708"/>
                          <pic:cNvPicPr/>
                        </pic:nvPicPr>
                        <pic:blipFill>
                          <a:blip r:embed="rId188"/>
                          <a:stretch>
                            <a:fillRect/>
                          </a:stretch>
                        </pic:blipFill>
                        <pic:spPr>
                          <a:xfrm>
                            <a:off x="0" y="0"/>
                            <a:ext cx="248920" cy="248831"/>
                          </a:xfrm>
                          <a:prstGeom prst="rect">
                            <a:avLst/>
                          </a:prstGeom>
                        </pic:spPr>
                      </pic:pic>
                    </a:graphicData>
                  </a:graphic>
                </wp:inline>
              </w:drawing>
            </w:r>
            <w:r>
              <w:rPr>
                <w:rFonts w:ascii="Times New Roman" w:eastAsia="Times New Roman" w:hAnsi="Times New Roman" w:cs="Times New Roman"/>
                <w:sz w:val="20"/>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firstLine="0"/>
              <w:jc w:val="left"/>
            </w:pPr>
            <w:r>
              <w:rPr>
                <w:sz w:val="20"/>
              </w:rPr>
              <w:t xml:space="preserve">Aun </w:t>
            </w:r>
            <w:r>
              <w:rPr>
                <w:sz w:val="20"/>
              </w:rPr>
              <w:tab/>
              <w:t xml:space="preserve">no </w:t>
            </w:r>
            <w:r>
              <w:rPr>
                <w:sz w:val="20"/>
              </w:rPr>
              <w:tab/>
              <w:t xml:space="preserve">se </w:t>
            </w:r>
            <w:r>
              <w:rPr>
                <w:sz w:val="20"/>
              </w:rPr>
              <w:tab/>
              <w:t xml:space="preserve">muestra </w:t>
            </w:r>
            <w:r>
              <w:rPr>
                <w:sz w:val="20"/>
              </w:rPr>
              <w:tab/>
              <w:t xml:space="preserve">avance </w:t>
            </w:r>
            <w:r>
              <w:rPr>
                <w:sz w:val="20"/>
              </w:rPr>
              <w:tab/>
              <w:t xml:space="preserve">en </w:t>
            </w:r>
            <w:r>
              <w:rPr>
                <w:sz w:val="20"/>
              </w:rPr>
              <w:tab/>
              <w:t xml:space="preserve">esta recomendación </w:t>
            </w:r>
          </w:p>
        </w:tc>
      </w:tr>
      <w:tr w:rsidR="0076001D">
        <w:trPr>
          <w:trHeight w:val="2081"/>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20"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31" w:firstLine="0"/>
            </w:pPr>
            <w:r>
              <w:rPr>
                <w:sz w:val="20"/>
              </w:rPr>
              <w:t xml:space="preserve">21.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right="90" w:firstLine="0"/>
            </w:pPr>
            <w:r>
              <w:rPr>
                <w:sz w:val="20"/>
              </w:rPr>
              <w:t xml:space="preserve">Configurar todas las directivas de seguridad del dominio de acuerdo con las recomendaciones de Microsoft para entornos corporativos y las recomendaciones emitidas por el auditor. </w:t>
            </w:r>
          </w:p>
          <w:p w:rsidR="0076001D" w:rsidRDefault="0034129A">
            <w:pPr>
              <w:tabs>
                <w:tab w:val="center" w:pos="662"/>
                <w:tab w:val="center" w:pos="1922"/>
                <w:tab w:val="center" w:pos="3165"/>
                <w:tab w:val="center" w:pos="4085"/>
              </w:tabs>
              <w:spacing w:after="0" w:line="259" w:lineRule="auto"/>
              <w:ind w:left="0" w:firstLine="0"/>
              <w:jc w:val="left"/>
            </w:pPr>
            <w:r>
              <w:rPr>
                <w:rFonts w:ascii="Calibri" w:eastAsia="Calibri" w:hAnsi="Calibri" w:cs="Calibri"/>
              </w:rPr>
              <w:tab/>
            </w:r>
            <w:r>
              <w:rPr>
                <w:sz w:val="20"/>
              </w:rPr>
              <w:t xml:space="preserve">Implementar </w:t>
            </w:r>
            <w:r>
              <w:rPr>
                <w:sz w:val="20"/>
              </w:rPr>
              <w:tab/>
              <w:t xml:space="preserve">medidas </w:t>
            </w:r>
            <w:r>
              <w:rPr>
                <w:sz w:val="20"/>
              </w:rPr>
              <w:tab/>
              <w:t xml:space="preserve">automáticas </w:t>
            </w:r>
            <w:r>
              <w:rPr>
                <w:sz w:val="20"/>
              </w:rPr>
              <w:tab/>
              <w:t xml:space="preserve">o </w:t>
            </w:r>
          </w:p>
          <w:p w:rsidR="0076001D" w:rsidRDefault="0034129A">
            <w:pPr>
              <w:spacing w:after="0" w:line="259" w:lineRule="auto"/>
              <w:ind w:left="108" w:right="94" w:firstLine="0"/>
            </w:pPr>
            <w:r>
              <w:rPr>
                <w:sz w:val="20"/>
              </w:rPr>
              <w:t xml:space="preserve">manuales para aplicar complejidad de contraseñas en el acceso a servicios TIC y para su cambio periódico y no reutilización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24"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 w:firstLine="0"/>
              <w:jc w:val="left"/>
            </w:pPr>
            <w:r>
              <w:rPr>
                <w:rFonts w:ascii="Times New Roman" w:eastAsia="Times New Roman" w:hAnsi="Times New Roman" w:cs="Times New Roman"/>
                <w:sz w:val="24"/>
              </w:rPr>
              <w:t xml:space="preserve"> </w:t>
            </w:r>
          </w:p>
          <w:p w:rsidR="0076001D" w:rsidRDefault="0034129A">
            <w:pPr>
              <w:spacing w:after="0" w:line="259" w:lineRule="auto"/>
              <w:ind w:left="107" w:firstLine="0"/>
              <w:jc w:val="left"/>
            </w:pPr>
            <w:r>
              <w:rPr>
                <w:noProof/>
                <w:lang w:val="es-ES" w:eastAsia="es-ES"/>
              </w:rPr>
              <w:drawing>
                <wp:inline distT="0" distB="0" distL="0" distR="0">
                  <wp:extent cx="267170" cy="280670"/>
                  <wp:effectExtent l="0" t="0" r="0" b="0"/>
                  <wp:docPr id="18710" name="Picture 18710"/>
                  <wp:cNvGraphicFramePr/>
                  <a:graphic xmlns:a="http://schemas.openxmlformats.org/drawingml/2006/main">
                    <a:graphicData uri="http://schemas.openxmlformats.org/drawingml/2006/picture">
                      <pic:pic xmlns:pic="http://schemas.openxmlformats.org/drawingml/2006/picture">
                        <pic:nvPicPr>
                          <pic:cNvPr id="18710" name="Picture 18710"/>
                          <pic:cNvPicPr/>
                        </pic:nvPicPr>
                        <pic:blipFill>
                          <a:blip r:embed="rId186"/>
                          <a:stretch>
                            <a:fillRect/>
                          </a:stretch>
                        </pic:blipFill>
                        <pic:spPr>
                          <a:xfrm>
                            <a:off x="0" y="0"/>
                            <a:ext cx="267170" cy="280670"/>
                          </a:xfrm>
                          <a:prstGeom prst="rect">
                            <a:avLst/>
                          </a:prstGeom>
                        </pic:spPr>
                      </pic:pic>
                    </a:graphicData>
                  </a:graphic>
                </wp:inline>
              </w:drawing>
            </w:r>
            <w:r>
              <w:rPr>
                <w:rFonts w:ascii="Times New Roman" w:eastAsia="Times New Roman" w:hAnsi="Times New Roman" w:cs="Times New Roman"/>
                <w:sz w:val="20"/>
              </w:rPr>
              <w:t xml:space="preserve"> </w:t>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3" w:firstLine="0"/>
            </w:pPr>
            <w:r>
              <w:rPr>
                <w:sz w:val="20"/>
              </w:rPr>
              <w:t xml:space="preserve">Si bien se realizaron reconfiguraciones en las políticas del dominio y se activaron medidas automáticas y/o manuales para el control de contraseñas. La vigencia de las contraseñas del dominio se aumentó a 210 días, lo cual no cumple con las buenas prácticas en directivas de contraseña. </w:t>
            </w:r>
          </w:p>
        </w:tc>
      </w:tr>
      <w:tr w:rsidR="0076001D">
        <w:trPr>
          <w:trHeight w:val="1851"/>
        </w:trPr>
        <w:tc>
          <w:tcPr>
            <w:tcW w:w="389"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rFonts w:ascii="Times New Roman" w:eastAsia="Times New Roman" w:hAnsi="Times New Roman" w:cs="Times New Roman"/>
              </w:rPr>
              <w:t xml:space="preserve"> </w:t>
            </w:r>
          </w:p>
          <w:p w:rsidR="0076001D" w:rsidRDefault="0034129A">
            <w:pPr>
              <w:spacing w:after="14" w:line="259" w:lineRule="auto"/>
              <w:ind w:left="0" w:firstLine="0"/>
              <w:jc w:val="left"/>
            </w:pPr>
            <w:r>
              <w:rPr>
                <w:rFonts w:ascii="Times New Roman" w:eastAsia="Times New Roman" w:hAnsi="Times New Roman" w:cs="Times New Roman"/>
              </w:rPr>
              <w:t xml:space="preserve"> </w:t>
            </w:r>
          </w:p>
          <w:p w:rsidR="0076001D" w:rsidRDefault="0034129A">
            <w:pPr>
              <w:spacing w:after="0" w:line="259" w:lineRule="auto"/>
              <w:ind w:left="0" w:firstLine="0"/>
              <w:jc w:val="left"/>
            </w:pPr>
            <w:r>
              <w:rPr>
                <w:rFonts w:ascii="Times New Roman" w:eastAsia="Times New Roman" w:hAnsi="Times New Roman" w:cs="Times New Roman"/>
                <w:sz w:val="25"/>
              </w:rPr>
              <w:t xml:space="preserve"> </w:t>
            </w:r>
          </w:p>
          <w:p w:rsidR="0076001D" w:rsidRDefault="0034129A">
            <w:pPr>
              <w:spacing w:after="0" w:line="259" w:lineRule="auto"/>
              <w:ind w:left="31" w:firstLine="0"/>
            </w:pPr>
            <w:r>
              <w:rPr>
                <w:sz w:val="20"/>
              </w:rPr>
              <w:t xml:space="preserve">22.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right="86" w:firstLine="0"/>
            </w:pPr>
            <w:r>
              <w:rPr>
                <w:sz w:val="20"/>
              </w:rPr>
              <w:t xml:space="preserve">Diseñar y formalizar un acta de entrega de activos TIC que incluya como mínimo: Equipos, Periféricos especiales, Software instalado, Accesos concedidos y privilegios, Controles de verificación de cambio de credenciales y accesos exitosos y Entrega de políticas de seguridad </w:t>
            </w:r>
          </w:p>
        </w:tc>
        <w:tc>
          <w:tcPr>
            <w:tcW w:w="710" w:type="dxa"/>
            <w:tcBorders>
              <w:top w:val="single" w:sz="4" w:space="0" w:color="000000"/>
              <w:left w:val="single" w:sz="4" w:space="0" w:color="000000"/>
              <w:bottom w:val="single" w:sz="4" w:space="0" w:color="000000"/>
              <w:right w:val="single" w:sz="4" w:space="0" w:color="000000"/>
            </w:tcBorders>
          </w:tcPr>
          <w:p w:rsidR="0076001D" w:rsidRDefault="0034129A">
            <w:pPr>
              <w:spacing w:after="78" w:line="259" w:lineRule="auto"/>
              <w:ind w:left="1" w:firstLine="0"/>
              <w:jc w:val="left"/>
            </w:pPr>
            <w:r>
              <w:rPr>
                <w:rFonts w:ascii="Times New Roman" w:eastAsia="Times New Roman" w:hAnsi="Times New Roman" w:cs="Times New Roman"/>
                <w:sz w:val="20"/>
              </w:rPr>
              <w:t xml:space="preserve"> </w:t>
            </w:r>
          </w:p>
          <w:p w:rsidR="0076001D" w:rsidRDefault="0034129A">
            <w:pPr>
              <w:spacing w:after="0" w:line="259" w:lineRule="auto"/>
              <w:ind w:left="107" w:firstLine="0"/>
              <w:jc w:val="left"/>
            </w:pPr>
            <w:r>
              <w:rPr>
                <w:noProof/>
                <w:lang w:val="es-ES" w:eastAsia="es-ES"/>
              </w:rPr>
              <w:drawing>
                <wp:inline distT="0" distB="0" distL="0" distR="0">
                  <wp:extent cx="267170" cy="280670"/>
                  <wp:effectExtent l="0" t="0" r="0" b="0"/>
                  <wp:docPr id="18712" name="Picture 18712"/>
                  <wp:cNvGraphicFramePr/>
                  <a:graphic xmlns:a="http://schemas.openxmlformats.org/drawingml/2006/main">
                    <a:graphicData uri="http://schemas.openxmlformats.org/drawingml/2006/picture">
                      <pic:pic xmlns:pic="http://schemas.openxmlformats.org/drawingml/2006/picture">
                        <pic:nvPicPr>
                          <pic:cNvPr id="18712" name="Picture 18712"/>
                          <pic:cNvPicPr/>
                        </pic:nvPicPr>
                        <pic:blipFill>
                          <a:blip r:embed="rId186"/>
                          <a:stretch>
                            <a:fillRect/>
                          </a:stretch>
                        </pic:blipFill>
                        <pic:spPr>
                          <a:xfrm>
                            <a:off x="0" y="0"/>
                            <a:ext cx="267170" cy="280670"/>
                          </a:xfrm>
                          <a:prstGeom prst="rect">
                            <a:avLst/>
                          </a:prstGeom>
                        </pic:spPr>
                      </pic:pic>
                    </a:graphicData>
                  </a:graphic>
                </wp:inline>
              </w:drawing>
            </w:r>
          </w:p>
        </w:tc>
        <w:tc>
          <w:tcPr>
            <w:tcW w:w="453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6" w:right="89" w:firstLine="0"/>
            </w:pPr>
            <w:r>
              <w:rPr>
                <w:sz w:val="20"/>
              </w:rPr>
              <w:t xml:space="preserve">Si bien se implementó el acta de compromiso con el buen uso de activos tic y cumplimiento de </w:t>
            </w:r>
            <w:proofErr w:type="gramStart"/>
            <w:r>
              <w:rPr>
                <w:sz w:val="20"/>
              </w:rPr>
              <w:t>la políticas</w:t>
            </w:r>
            <w:proofErr w:type="gramEnd"/>
            <w:r>
              <w:rPr>
                <w:sz w:val="20"/>
              </w:rPr>
              <w:t xml:space="preserve"> tic, no se cuenta con un acta que incluya todos los puntos recomendados. </w:t>
            </w:r>
          </w:p>
        </w:tc>
      </w:tr>
    </w:tbl>
    <w:p w:rsidR="0076001D" w:rsidRDefault="0034129A">
      <w:pPr>
        <w:spacing w:after="159" w:line="259" w:lineRule="auto"/>
        <w:ind w:left="0" w:firstLine="0"/>
        <w:jc w:val="left"/>
      </w:pPr>
      <w:r>
        <w:rPr>
          <w:rFonts w:ascii="Times New Roman" w:eastAsia="Times New Roman" w:hAnsi="Times New Roman" w:cs="Times New Roman"/>
          <w:sz w:val="14"/>
        </w:rPr>
        <w:t xml:space="preserve"> </w:t>
      </w:r>
    </w:p>
    <w:p w:rsidR="0076001D" w:rsidRDefault="0034129A">
      <w:pPr>
        <w:pStyle w:val="Ttulo2"/>
        <w:tabs>
          <w:tab w:val="center" w:pos="696"/>
          <w:tab w:val="center" w:pos="3621"/>
        </w:tabs>
        <w:ind w:left="0" w:firstLine="0"/>
      </w:pPr>
      <w:r>
        <w:rPr>
          <w:rFonts w:ascii="Calibri" w:eastAsia="Calibri" w:hAnsi="Calibri" w:cs="Calibri"/>
          <w:b w:val="0"/>
        </w:rPr>
        <w:tab/>
      </w:r>
      <w:r>
        <w:t xml:space="preserve">5.3 </w:t>
      </w:r>
      <w:r>
        <w:tab/>
        <w:t xml:space="preserve">Desarrollo y Adquisición de Software Aplicativo </w:t>
      </w:r>
    </w:p>
    <w:p w:rsidR="0076001D" w:rsidRDefault="0034129A">
      <w:pPr>
        <w:spacing w:after="0" w:line="259" w:lineRule="auto"/>
        <w:ind w:left="0" w:firstLine="0"/>
        <w:jc w:val="left"/>
      </w:pPr>
      <w:r>
        <w:rPr>
          <w:b/>
          <w:sz w:val="20"/>
        </w:rPr>
        <w:t xml:space="preserve"> </w:t>
      </w:r>
    </w:p>
    <w:p w:rsidR="0076001D" w:rsidRDefault="0034129A">
      <w:pPr>
        <w:spacing w:after="2" w:line="259" w:lineRule="auto"/>
        <w:ind w:left="0" w:firstLine="0"/>
        <w:jc w:val="left"/>
      </w:pPr>
      <w:r>
        <w:rPr>
          <w:b/>
          <w:sz w:val="21"/>
        </w:rPr>
        <w:t xml:space="preserve"> </w:t>
      </w:r>
    </w:p>
    <w:p w:rsidR="0076001D" w:rsidRDefault="0034129A">
      <w:pPr>
        <w:numPr>
          <w:ilvl w:val="0"/>
          <w:numId w:val="32"/>
        </w:numPr>
        <w:spacing w:after="5" w:line="259" w:lineRule="auto"/>
        <w:ind w:right="439" w:hanging="704"/>
      </w:pPr>
      <w:r>
        <w:lastRenderedPageBreak/>
        <w:t xml:space="preserve">El PETI 2020 incluye correctamente el listado de sistemas de información en su numeral </w:t>
      </w:r>
    </w:p>
    <w:p w:rsidR="0076001D" w:rsidRDefault="0034129A">
      <w:pPr>
        <w:ind w:left="900" w:firstLine="0"/>
      </w:pPr>
      <w:r>
        <w:t xml:space="preserve">5.4, solo está pendiente la inclusión de RENATA. </w:t>
      </w:r>
    </w:p>
    <w:p w:rsidR="0076001D" w:rsidRDefault="0034129A">
      <w:pPr>
        <w:spacing w:after="0" w:line="259" w:lineRule="auto"/>
        <w:ind w:left="0" w:firstLine="0"/>
        <w:jc w:val="left"/>
      </w:pPr>
      <w:r>
        <w:rPr>
          <w:sz w:val="21"/>
        </w:rPr>
        <w:t xml:space="preserve"> </w:t>
      </w:r>
    </w:p>
    <w:p w:rsidR="0076001D" w:rsidRDefault="0034129A">
      <w:pPr>
        <w:spacing w:after="0" w:line="259" w:lineRule="auto"/>
        <w:ind w:left="624" w:firstLine="0"/>
        <w:jc w:val="left"/>
      </w:pPr>
      <w:r>
        <w:rPr>
          <w:noProof/>
          <w:lang w:val="es-ES" w:eastAsia="es-ES"/>
        </w:rPr>
        <w:drawing>
          <wp:inline distT="0" distB="0" distL="0" distR="0">
            <wp:extent cx="5699760" cy="4714494"/>
            <wp:effectExtent l="0" t="0" r="0" b="0"/>
            <wp:docPr id="18765" name="Picture 18765"/>
            <wp:cNvGraphicFramePr/>
            <a:graphic xmlns:a="http://schemas.openxmlformats.org/drawingml/2006/main">
              <a:graphicData uri="http://schemas.openxmlformats.org/drawingml/2006/picture">
                <pic:pic xmlns:pic="http://schemas.openxmlformats.org/drawingml/2006/picture">
                  <pic:nvPicPr>
                    <pic:cNvPr id="18765" name="Picture 18765"/>
                    <pic:cNvPicPr/>
                  </pic:nvPicPr>
                  <pic:blipFill>
                    <a:blip r:embed="rId189"/>
                    <a:stretch>
                      <a:fillRect/>
                    </a:stretch>
                  </pic:blipFill>
                  <pic:spPr>
                    <a:xfrm>
                      <a:off x="0" y="0"/>
                      <a:ext cx="5699760" cy="4714494"/>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spacing w:after="77" w:line="259" w:lineRule="auto"/>
        <w:ind w:left="0" w:firstLine="0"/>
        <w:jc w:val="left"/>
      </w:pPr>
      <w:r>
        <w:rPr>
          <w:sz w:val="10"/>
        </w:rPr>
        <w:t xml:space="preserve"> </w:t>
      </w:r>
    </w:p>
    <w:p w:rsidR="0076001D" w:rsidRDefault="0034129A">
      <w:pPr>
        <w:spacing w:after="0" w:line="259" w:lineRule="auto"/>
        <w:ind w:left="0" w:right="466" w:firstLine="0"/>
        <w:jc w:val="right"/>
      </w:pPr>
      <w:r>
        <w:rPr>
          <w:noProof/>
          <w:lang w:val="es-ES" w:eastAsia="es-ES"/>
        </w:rPr>
        <w:lastRenderedPageBreak/>
        <w:drawing>
          <wp:inline distT="0" distB="0" distL="0" distR="0">
            <wp:extent cx="5700649" cy="3745865"/>
            <wp:effectExtent l="0" t="0" r="0" b="0"/>
            <wp:docPr id="18903" name="Picture 18903"/>
            <wp:cNvGraphicFramePr/>
            <a:graphic xmlns:a="http://schemas.openxmlformats.org/drawingml/2006/main">
              <a:graphicData uri="http://schemas.openxmlformats.org/drawingml/2006/picture">
                <pic:pic xmlns:pic="http://schemas.openxmlformats.org/drawingml/2006/picture">
                  <pic:nvPicPr>
                    <pic:cNvPr id="18903" name="Picture 18903"/>
                    <pic:cNvPicPr/>
                  </pic:nvPicPr>
                  <pic:blipFill>
                    <a:blip r:embed="rId190"/>
                    <a:stretch>
                      <a:fillRect/>
                    </a:stretch>
                  </pic:blipFill>
                  <pic:spPr>
                    <a:xfrm>
                      <a:off x="0" y="0"/>
                      <a:ext cx="5700649" cy="3745865"/>
                    </a:xfrm>
                    <a:prstGeom prst="rect">
                      <a:avLst/>
                    </a:prstGeom>
                  </pic:spPr>
                </pic:pic>
              </a:graphicData>
            </a:graphic>
          </wp:inline>
        </w:drawing>
      </w: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12" w:line="259" w:lineRule="auto"/>
        <w:ind w:left="0" w:firstLine="0"/>
        <w:jc w:val="left"/>
      </w:pPr>
      <w:r>
        <w:rPr>
          <w:sz w:val="20"/>
        </w:rPr>
        <w:t xml:space="preserve"> </w:t>
      </w:r>
    </w:p>
    <w:p w:rsidR="0076001D" w:rsidRDefault="0034129A">
      <w:pPr>
        <w:spacing w:after="0" w:line="259" w:lineRule="auto"/>
        <w:ind w:left="0" w:right="9208" w:firstLine="0"/>
        <w:jc w:val="left"/>
      </w:pPr>
      <w:r>
        <w:rPr>
          <w:sz w:val="23"/>
        </w:rPr>
        <w:t xml:space="preserve"> </w:t>
      </w:r>
    </w:p>
    <w:p w:rsidR="0076001D" w:rsidRDefault="0034129A">
      <w:pPr>
        <w:ind w:left="716" w:right="432" w:hanging="171"/>
      </w:pPr>
      <w:r>
        <w:rPr>
          <w:noProof/>
          <w:lang w:val="es-ES" w:eastAsia="es-ES"/>
        </w:rPr>
        <w:drawing>
          <wp:inline distT="0" distB="0" distL="0" distR="0">
            <wp:extent cx="227546" cy="136525"/>
            <wp:effectExtent l="0" t="0" r="0" b="0"/>
            <wp:docPr id="18800" name="Picture 18800"/>
            <wp:cNvGraphicFramePr/>
            <a:graphic xmlns:a="http://schemas.openxmlformats.org/drawingml/2006/main">
              <a:graphicData uri="http://schemas.openxmlformats.org/drawingml/2006/picture">
                <pic:pic xmlns:pic="http://schemas.openxmlformats.org/drawingml/2006/picture">
                  <pic:nvPicPr>
                    <pic:cNvPr id="18800" name="Picture 18800"/>
                    <pic:cNvPicPr/>
                  </pic:nvPicPr>
                  <pic:blipFill>
                    <a:blip r:embed="rId8"/>
                    <a:stretch>
                      <a:fillRect/>
                    </a:stretch>
                  </pic:blipFill>
                  <pic:spPr>
                    <a:xfrm>
                      <a:off x="0" y="0"/>
                      <a:ext cx="227546" cy="136525"/>
                    </a:xfrm>
                    <a:prstGeom prst="rect">
                      <a:avLst/>
                    </a:prstGeom>
                  </pic:spPr>
                </pic:pic>
              </a:graphicData>
            </a:graphic>
          </wp:inline>
        </w:drawing>
      </w:r>
      <w:r>
        <w:t xml:space="preserve"> En cuanto al desarrollo del catálogo de sistemas de información, se ha realizado el registro en el Inventario de activos </w:t>
      </w:r>
      <w:r>
        <w:rPr>
          <w:i/>
        </w:rPr>
        <w:t>Base de Datos de Activos de Información Hardware - Software - Servicios.xlsx</w:t>
      </w:r>
      <w:r>
        <w:t xml:space="preserve">, pero no se han atendido los lineamientos de la Guía G.SIS.03 Guía para la construcción del catálogo de Sistemas de Información, que arroje como resultado un catálogo caracterizado con los siguientes atributos: </w:t>
      </w:r>
    </w:p>
    <w:p w:rsidR="0076001D" w:rsidRDefault="0034129A">
      <w:pPr>
        <w:numPr>
          <w:ilvl w:val="1"/>
          <w:numId w:val="32"/>
        </w:numPr>
        <w:ind w:right="3775" w:firstLine="0"/>
      </w:pPr>
      <w:r>
        <w:t xml:space="preserve">Nombre del sistema - Sigla </w:t>
      </w:r>
      <w:r>
        <w:rPr>
          <w:rFonts w:ascii="Courier New" w:eastAsia="Courier New" w:hAnsi="Courier New" w:cs="Courier New"/>
        </w:rPr>
        <w:t>o</w:t>
      </w:r>
      <w:r>
        <w:t xml:space="preserve"> Descripción del sistema </w:t>
      </w:r>
    </w:p>
    <w:p w:rsidR="0076001D" w:rsidRDefault="0034129A">
      <w:pPr>
        <w:numPr>
          <w:ilvl w:val="1"/>
          <w:numId w:val="32"/>
        </w:numPr>
        <w:spacing w:after="0" w:line="270" w:lineRule="auto"/>
        <w:ind w:right="3775" w:firstLine="0"/>
      </w:pPr>
      <w:r>
        <w:t xml:space="preserve">Versión </w:t>
      </w:r>
      <w:r>
        <w:rPr>
          <w:rFonts w:ascii="Courier New" w:eastAsia="Courier New" w:hAnsi="Courier New" w:cs="Courier New"/>
        </w:rPr>
        <w:t>o</w:t>
      </w:r>
      <w:r>
        <w:t xml:space="preserve"> Categoría </w:t>
      </w:r>
      <w:r>
        <w:rPr>
          <w:rFonts w:ascii="Courier New" w:eastAsia="Courier New" w:hAnsi="Courier New" w:cs="Courier New"/>
        </w:rPr>
        <w:t>o</w:t>
      </w:r>
      <w:r>
        <w:t xml:space="preserve"> Tipo de desarrollo </w:t>
      </w:r>
      <w:r>
        <w:rPr>
          <w:rFonts w:ascii="Courier New" w:eastAsia="Courier New" w:hAnsi="Courier New" w:cs="Courier New"/>
        </w:rPr>
        <w:t>o</w:t>
      </w:r>
      <w:r>
        <w:t xml:space="preserve"> Fabricante </w:t>
      </w:r>
    </w:p>
    <w:p w:rsidR="0076001D" w:rsidRDefault="0034129A">
      <w:pPr>
        <w:numPr>
          <w:ilvl w:val="1"/>
          <w:numId w:val="32"/>
        </w:numPr>
        <w:ind w:right="3775" w:firstLine="0"/>
      </w:pPr>
      <w:r>
        <w:t xml:space="preserve">Proveedor de soporte y/o implementación </w:t>
      </w:r>
      <w:r>
        <w:rPr>
          <w:rFonts w:ascii="Courier New" w:eastAsia="Courier New" w:hAnsi="Courier New" w:cs="Courier New"/>
        </w:rPr>
        <w:t>o</w:t>
      </w:r>
      <w:r>
        <w:t xml:space="preserve"> Enlace a contratos y Fecha de vencimiento del soporte </w:t>
      </w:r>
      <w:r>
        <w:rPr>
          <w:rFonts w:ascii="Courier New" w:eastAsia="Courier New" w:hAnsi="Courier New" w:cs="Courier New"/>
        </w:rPr>
        <w:t>o</w:t>
      </w:r>
      <w:r>
        <w:t xml:space="preserve"> Responsable técnico </w:t>
      </w:r>
      <w:r>
        <w:rPr>
          <w:rFonts w:ascii="Courier New" w:eastAsia="Courier New" w:hAnsi="Courier New" w:cs="Courier New"/>
        </w:rPr>
        <w:t>o</w:t>
      </w:r>
      <w:r>
        <w:t xml:space="preserve"> Responsable funcional </w:t>
      </w:r>
      <w:r>
        <w:rPr>
          <w:rFonts w:ascii="Courier New" w:eastAsia="Courier New" w:hAnsi="Courier New" w:cs="Courier New"/>
        </w:rPr>
        <w:t>o</w:t>
      </w:r>
      <w:r>
        <w:t xml:space="preserve"> Estado: en implementación, en mantenimiento, fuera de productivo. </w:t>
      </w:r>
      <w:r>
        <w:rPr>
          <w:rFonts w:ascii="Courier New" w:eastAsia="Courier New" w:hAnsi="Courier New" w:cs="Courier New"/>
        </w:rPr>
        <w:t>o</w:t>
      </w:r>
      <w:r>
        <w:t xml:space="preserve"> Soporte de Licenciamiento y cumplimiento con derechos de autor </w:t>
      </w:r>
      <w:r>
        <w:rPr>
          <w:rFonts w:ascii="Courier New" w:eastAsia="Courier New" w:hAnsi="Courier New" w:cs="Courier New"/>
        </w:rPr>
        <w:t>o</w:t>
      </w:r>
      <w:r>
        <w:t xml:space="preserve"> Sistema Operativo </w:t>
      </w:r>
      <w:r>
        <w:rPr>
          <w:rFonts w:ascii="Courier New" w:eastAsia="Courier New" w:hAnsi="Courier New" w:cs="Courier New"/>
        </w:rPr>
        <w:t>o</w:t>
      </w:r>
      <w:r>
        <w:t xml:space="preserve"> Lenguaje de programación </w:t>
      </w:r>
      <w:r>
        <w:rPr>
          <w:rFonts w:ascii="Courier New" w:eastAsia="Courier New" w:hAnsi="Courier New" w:cs="Courier New"/>
        </w:rPr>
        <w:t>o</w:t>
      </w:r>
      <w:r>
        <w:t xml:space="preserve"> Plataforma de Base de datos </w:t>
      </w:r>
    </w:p>
    <w:p w:rsidR="0076001D" w:rsidRDefault="0034129A">
      <w:pPr>
        <w:spacing w:after="160" w:line="259" w:lineRule="auto"/>
        <w:ind w:left="0" w:firstLine="0"/>
        <w:jc w:val="left"/>
      </w:pPr>
      <w:r>
        <w:rPr>
          <w:sz w:val="14"/>
        </w:rPr>
        <w:t xml:space="preserve"> </w:t>
      </w:r>
    </w:p>
    <w:p w:rsidR="0076001D" w:rsidRDefault="0034129A">
      <w:pPr>
        <w:numPr>
          <w:ilvl w:val="1"/>
          <w:numId w:val="32"/>
        </w:numPr>
        <w:spacing w:after="232"/>
        <w:ind w:right="3775" w:firstLine="0"/>
      </w:pPr>
      <w:r>
        <w:lastRenderedPageBreak/>
        <w:t xml:space="preserve">Documentación técnica y funcional para trasferencia de conocimiento. </w:t>
      </w:r>
      <w:r>
        <w:rPr>
          <w:rFonts w:ascii="Courier New" w:eastAsia="Courier New" w:hAnsi="Courier New" w:cs="Courier New"/>
        </w:rPr>
        <w:t>o</w:t>
      </w:r>
      <w:r>
        <w:t xml:space="preserve"> Arquitectura tecnológica </w:t>
      </w:r>
    </w:p>
    <w:p w:rsidR="0076001D" w:rsidRDefault="0034129A">
      <w:pPr>
        <w:ind w:left="545" w:firstLine="0"/>
      </w:pPr>
      <w:r>
        <w:t xml:space="preserve">En cuanto a la legalización de uso del sistema GOOBI, fueron </w:t>
      </w:r>
      <w:proofErr w:type="gramStart"/>
      <w:r>
        <w:t>presentados</w:t>
      </w:r>
      <w:proofErr w:type="gramEnd"/>
      <w:r>
        <w:t xml:space="preserve"> por el proceso las siguientes evidencias de legalización de su uso: </w:t>
      </w:r>
    </w:p>
    <w:p w:rsidR="0076001D" w:rsidRDefault="0034129A">
      <w:pPr>
        <w:spacing w:after="0" w:line="259" w:lineRule="auto"/>
        <w:ind w:left="0" w:firstLine="0"/>
        <w:jc w:val="left"/>
      </w:pPr>
      <w:r>
        <w:rPr>
          <w:sz w:val="20"/>
        </w:rPr>
        <w:t xml:space="preserve"> </w:t>
      </w:r>
    </w:p>
    <w:p w:rsidR="0076001D" w:rsidRDefault="0034129A">
      <w:pPr>
        <w:spacing w:after="2" w:line="259" w:lineRule="auto"/>
        <w:ind w:left="0" w:firstLine="0"/>
        <w:jc w:val="left"/>
      </w:pPr>
      <w:r>
        <w:rPr>
          <w:sz w:val="21"/>
        </w:rPr>
        <w:t xml:space="preserve"> </w:t>
      </w:r>
    </w:p>
    <w:p w:rsidR="0076001D" w:rsidRDefault="0034129A">
      <w:pPr>
        <w:numPr>
          <w:ilvl w:val="0"/>
          <w:numId w:val="32"/>
        </w:numPr>
        <w:spacing w:after="216"/>
        <w:ind w:right="439" w:hanging="704"/>
      </w:pPr>
      <w:r>
        <w:t xml:space="preserve">GOOBI S.A.S - Certificado de Derechos de autor: trasferencia de derechos patrimoniales a GOOBI SAS </w:t>
      </w:r>
    </w:p>
    <w:p w:rsidR="0076001D" w:rsidRDefault="0034129A">
      <w:pPr>
        <w:numPr>
          <w:ilvl w:val="0"/>
          <w:numId w:val="32"/>
        </w:numPr>
        <w:ind w:right="439" w:hanging="704"/>
      </w:pPr>
      <w:r>
        <w:t xml:space="preserve">GOOBI S.A.S - Certificado de exclusividad y único proponente.pdf: que establece el derecho de GOOBI SAS a distribuir el sistema como nuevo propietario de los derechos. </w:t>
      </w:r>
      <w:r>
        <w:rPr>
          <w:sz w:val="34"/>
        </w:rPr>
        <w:t xml:space="preserve"> </w:t>
      </w:r>
    </w:p>
    <w:p w:rsidR="0076001D" w:rsidRDefault="0034129A">
      <w:pPr>
        <w:spacing w:after="29"/>
        <w:ind w:left="1673" w:hanging="704"/>
      </w:pPr>
      <w:r>
        <w:rPr>
          <w:noProof/>
          <w:lang w:val="es-ES" w:eastAsia="es-ES"/>
        </w:rPr>
        <w:drawing>
          <wp:inline distT="0" distB="0" distL="0" distR="0">
            <wp:extent cx="227546" cy="136525"/>
            <wp:effectExtent l="0" t="0" r="0" b="0"/>
            <wp:docPr id="19028" name="Picture 19028"/>
            <wp:cNvGraphicFramePr/>
            <a:graphic xmlns:a="http://schemas.openxmlformats.org/drawingml/2006/main">
              <a:graphicData uri="http://schemas.openxmlformats.org/drawingml/2006/picture">
                <pic:pic xmlns:pic="http://schemas.openxmlformats.org/drawingml/2006/picture">
                  <pic:nvPicPr>
                    <pic:cNvPr id="19028" name="Picture 19028"/>
                    <pic:cNvPicPr/>
                  </pic:nvPicPr>
                  <pic:blipFill>
                    <a:blip r:embed="rId8"/>
                    <a:stretch>
                      <a:fillRect/>
                    </a:stretch>
                  </pic:blipFill>
                  <pic:spPr>
                    <a:xfrm>
                      <a:off x="0" y="0"/>
                      <a:ext cx="227546" cy="136525"/>
                    </a:xfrm>
                    <a:prstGeom prst="rect">
                      <a:avLst/>
                    </a:prstGeom>
                  </pic:spPr>
                </pic:pic>
              </a:graphicData>
            </a:graphic>
          </wp:inline>
        </w:drawing>
      </w:r>
      <w:r>
        <w:tab/>
        <w:t xml:space="preserve">Contrato 2016-0034 Licenciamiento Goobi.pdf: el cual data del 2016 y debe ser actualizado con la firma de GOOBI SAS </w:t>
      </w:r>
    </w:p>
    <w:p w:rsidR="0076001D" w:rsidRDefault="0034129A">
      <w:pPr>
        <w:spacing w:after="0" w:line="259" w:lineRule="auto"/>
        <w:ind w:left="0" w:firstLine="0"/>
        <w:jc w:val="left"/>
      </w:pPr>
      <w:r>
        <w:rPr>
          <w:sz w:val="25"/>
        </w:rPr>
        <w:t xml:space="preserve"> </w:t>
      </w:r>
    </w:p>
    <w:p w:rsidR="0076001D" w:rsidRDefault="0034129A">
      <w:pPr>
        <w:ind w:left="716" w:right="441" w:hanging="171"/>
      </w:pPr>
      <w:r>
        <w:rPr>
          <w:noProof/>
          <w:lang w:val="es-ES" w:eastAsia="es-ES"/>
        </w:rPr>
        <w:drawing>
          <wp:inline distT="0" distB="0" distL="0" distR="0">
            <wp:extent cx="227546" cy="136525"/>
            <wp:effectExtent l="0" t="0" r="0" b="0"/>
            <wp:docPr id="18921" name="Picture 18921"/>
            <wp:cNvGraphicFramePr/>
            <a:graphic xmlns:a="http://schemas.openxmlformats.org/drawingml/2006/main">
              <a:graphicData uri="http://schemas.openxmlformats.org/drawingml/2006/picture">
                <pic:pic xmlns:pic="http://schemas.openxmlformats.org/drawingml/2006/picture">
                  <pic:nvPicPr>
                    <pic:cNvPr id="18921" name="Picture 18921"/>
                    <pic:cNvPicPr/>
                  </pic:nvPicPr>
                  <pic:blipFill>
                    <a:blip r:embed="rId8"/>
                    <a:stretch>
                      <a:fillRect/>
                    </a:stretch>
                  </pic:blipFill>
                  <pic:spPr>
                    <a:xfrm>
                      <a:off x="0" y="0"/>
                      <a:ext cx="227546" cy="136525"/>
                    </a:xfrm>
                    <a:prstGeom prst="rect">
                      <a:avLst/>
                    </a:prstGeom>
                  </pic:spPr>
                </pic:pic>
              </a:graphicData>
            </a:graphic>
          </wp:inline>
        </w:drawing>
      </w:r>
      <w:r>
        <w:t xml:space="preserve"> En el caso del sistema Humano no fueron entregados al auditor las evidencias de las licencias de uso expedidas por el propietario, pero si el registro de derechos de autor del producto que en el caso de Soporte Lógico se encontraba correcto.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68" w:line="259" w:lineRule="auto"/>
        <w:ind w:left="1392" w:firstLine="0"/>
        <w:jc w:val="left"/>
      </w:pPr>
      <w:r>
        <w:rPr>
          <w:noProof/>
          <w:lang w:val="es-ES" w:eastAsia="es-ES"/>
        </w:rPr>
        <w:drawing>
          <wp:inline distT="0" distB="0" distL="0" distR="0">
            <wp:extent cx="4712335" cy="3877310"/>
            <wp:effectExtent l="0" t="0" r="0" b="0"/>
            <wp:docPr id="18919" name="Picture 18919"/>
            <wp:cNvGraphicFramePr/>
            <a:graphic xmlns:a="http://schemas.openxmlformats.org/drawingml/2006/main">
              <a:graphicData uri="http://schemas.openxmlformats.org/drawingml/2006/picture">
                <pic:pic xmlns:pic="http://schemas.openxmlformats.org/drawingml/2006/picture">
                  <pic:nvPicPr>
                    <pic:cNvPr id="18919" name="Picture 18919"/>
                    <pic:cNvPicPr/>
                  </pic:nvPicPr>
                  <pic:blipFill>
                    <a:blip r:embed="rId191"/>
                    <a:stretch>
                      <a:fillRect/>
                    </a:stretch>
                  </pic:blipFill>
                  <pic:spPr>
                    <a:xfrm>
                      <a:off x="0" y="0"/>
                      <a:ext cx="4712335" cy="3877310"/>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spacing w:after="778" w:line="259" w:lineRule="auto"/>
        <w:ind w:left="0" w:firstLine="0"/>
        <w:jc w:val="left"/>
      </w:pPr>
      <w:r>
        <w:rPr>
          <w:sz w:val="17"/>
        </w:rPr>
        <w:t xml:space="preserve"> </w:t>
      </w:r>
    </w:p>
    <w:p w:rsidR="0076001D" w:rsidRDefault="0034129A">
      <w:pPr>
        <w:spacing w:after="0" w:line="259" w:lineRule="auto"/>
        <w:ind w:left="0" w:firstLine="0"/>
        <w:jc w:val="left"/>
      </w:pPr>
      <w:r>
        <w:rPr>
          <w:sz w:val="2"/>
        </w:rPr>
        <w:lastRenderedPageBreak/>
        <w:t xml:space="preserve"> </w:t>
      </w:r>
    </w:p>
    <w:p w:rsidR="0076001D" w:rsidRDefault="0034129A">
      <w:pPr>
        <w:spacing w:after="0" w:line="259" w:lineRule="auto"/>
        <w:ind w:left="0" w:firstLine="0"/>
        <w:jc w:val="left"/>
      </w:pPr>
      <w:r>
        <w:rPr>
          <w:rFonts w:ascii="Calibri" w:eastAsia="Calibri" w:hAnsi="Calibri" w:cs="Calibri"/>
          <w:sz w:val="20"/>
        </w:rPr>
        <w:t xml:space="preserve"> </w:t>
      </w:r>
    </w:p>
    <w:p w:rsidR="0076001D" w:rsidRDefault="0034129A">
      <w:pPr>
        <w:spacing w:after="54" w:line="259" w:lineRule="auto"/>
        <w:ind w:left="0" w:firstLine="0"/>
        <w:jc w:val="left"/>
      </w:pPr>
      <w:r>
        <w:rPr>
          <w:rFonts w:ascii="Calibri" w:eastAsia="Calibri" w:hAnsi="Calibri" w:cs="Calibri"/>
          <w:sz w:val="20"/>
        </w:rPr>
        <w:t xml:space="preserve"> </w:t>
      </w:r>
    </w:p>
    <w:p w:rsidR="0076001D" w:rsidRDefault="0034129A">
      <w:pPr>
        <w:spacing w:after="0" w:line="259" w:lineRule="auto"/>
        <w:ind w:left="0" w:firstLine="0"/>
        <w:jc w:val="left"/>
      </w:pPr>
      <w:r>
        <w:rPr>
          <w:rFonts w:ascii="Calibri" w:eastAsia="Calibri" w:hAnsi="Calibri" w:cs="Calibri"/>
          <w:sz w:val="27"/>
        </w:rPr>
        <w:t xml:space="preserve"> </w:t>
      </w:r>
    </w:p>
    <w:p w:rsidR="0076001D" w:rsidRDefault="0034129A">
      <w:pPr>
        <w:ind w:left="716" w:right="433" w:hanging="171"/>
      </w:pPr>
      <w:r>
        <w:rPr>
          <w:noProof/>
          <w:lang w:val="es-ES" w:eastAsia="es-ES"/>
        </w:rPr>
        <w:drawing>
          <wp:inline distT="0" distB="0" distL="0" distR="0">
            <wp:extent cx="227546" cy="136525"/>
            <wp:effectExtent l="0" t="0" r="0" b="0"/>
            <wp:docPr id="19063" name="Picture 19063"/>
            <wp:cNvGraphicFramePr/>
            <a:graphic xmlns:a="http://schemas.openxmlformats.org/drawingml/2006/main">
              <a:graphicData uri="http://schemas.openxmlformats.org/drawingml/2006/picture">
                <pic:pic xmlns:pic="http://schemas.openxmlformats.org/drawingml/2006/picture">
                  <pic:nvPicPr>
                    <pic:cNvPr id="19063" name="Picture 19063"/>
                    <pic:cNvPicPr/>
                  </pic:nvPicPr>
                  <pic:blipFill>
                    <a:blip r:embed="rId8"/>
                    <a:stretch>
                      <a:fillRect/>
                    </a:stretch>
                  </pic:blipFill>
                  <pic:spPr>
                    <a:xfrm>
                      <a:off x="0" y="0"/>
                      <a:ext cx="227546" cy="136525"/>
                    </a:xfrm>
                    <a:prstGeom prst="rect">
                      <a:avLst/>
                    </a:prstGeom>
                  </pic:spPr>
                </pic:pic>
              </a:graphicData>
            </a:graphic>
          </wp:inline>
        </w:drawing>
      </w:r>
      <w:r>
        <w:t xml:space="preserve"> En cuanto a la confiabilidad en los sistemas de información, la percepción es positiva en todos los sistemas a excepción de GOOBI, en el cual se han presentado inconvenientes de integridad de datos que generan desconfianza e incrementan el interés del IDEP por adquirir una nueva solución tecnológica. El auditor pudo observar la siguiente situación: </w:t>
      </w:r>
    </w:p>
    <w:p w:rsidR="0076001D" w:rsidRDefault="0034129A">
      <w:pPr>
        <w:ind w:left="1263" w:right="431" w:hanging="1263"/>
      </w:pPr>
      <w:r>
        <w:rPr>
          <w:sz w:val="21"/>
        </w:rPr>
        <w:t xml:space="preserve"> </w:t>
      </w:r>
      <w:proofErr w:type="gramStart"/>
      <w:r>
        <w:rPr>
          <w:rFonts w:ascii="Courier New" w:eastAsia="Courier New" w:hAnsi="Courier New" w:cs="Courier New"/>
        </w:rPr>
        <w:t>o</w:t>
      </w:r>
      <w:proofErr w:type="gramEnd"/>
      <w:r>
        <w:t xml:space="preserve"> La falla corresponde a inconsistencias en los consolidados y boletín de inventarios, presuntamente basados en errores de datos y clasificación  durante  la migración de datos para transición a las NIIF, que han venido evidenciándose desde el año 2018 en cada proceso de generación del boletín. Sobre este particular cabe anotar que las condiciones de soporte del contrato 26 de 2020 no da cobertura a fallas de datos que no están directamente relacionadas con la operación del sistema, por lo cual no es viable una reclamación de incumplimiento al proveedor. </w:t>
      </w:r>
    </w:p>
    <w:p w:rsidR="0076001D" w:rsidRDefault="0034129A">
      <w:pPr>
        <w:spacing w:after="3" w:line="259" w:lineRule="auto"/>
        <w:ind w:left="0" w:firstLine="0"/>
        <w:jc w:val="left"/>
      </w:pPr>
      <w:r>
        <w:rPr>
          <w:sz w:val="20"/>
        </w:rPr>
        <w:t xml:space="preserve"> </w:t>
      </w:r>
    </w:p>
    <w:p w:rsidR="0076001D" w:rsidRDefault="0034129A">
      <w:pPr>
        <w:numPr>
          <w:ilvl w:val="0"/>
          <w:numId w:val="33"/>
        </w:numPr>
        <w:ind w:right="432" w:hanging="360"/>
      </w:pPr>
      <w:r>
        <w:t xml:space="preserve">Si bien estas inconsistencias no reflejan impacto en contabilidad, el proveedor de GOOOBI manifestó en su informe de auditoría del mes de septiembre de 2020, que se han realizado notas contables con el propósito de ajustar los saldos, lo cual en caso de ser evidenciado por el proveedor implica que deben revisarse dichas notas contables, ya que no corresponden a la corrección de fondo de la problemática y podrían empeorar la situación al “ajustar” la causa raíz en lugar de resolverla. </w:t>
      </w:r>
    </w:p>
    <w:p w:rsidR="0076001D" w:rsidRDefault="0034129A">
      <w:pPr>
        <w:spacing w:after="0" w:line="259" w:lineRule="auto"/>
        <w:ind w:left="0" w:firstLine="0"/>
        <w:jc w:val="left"/>
      </w:pPr>
      <w:r>
        <w:rPr>
          <w:sz w:val="21"/>
        </w:rPr>
        <w:t xml:space="preserve"> </w:t>
      </w:r>
    </w:p>
    <w:p w:rsidR="0076001D" w:rsidRDefault="0034129A">
      <w:pPr>
        <w:numPr>
          <w:ilvl w:val="0"/>
          <w:numId w:val="33"/>
        </w:numPr>
        <w:ind w:right="432" w:hanging="360"/>
      </w:pPr>
      <w:r>
        <w:t xml:space="preserve">Si bien el área usuaria presenta un inventario de inconsistencias, este no puedo considerarse el universo completo de casos, ya que al no resolverse la causa  raíz, no se puede suponer que no aparecerán nuevos casos a lo largo del tiempo. </w:t>
      </w:r>
    </w:p>
    <w:p w:rsidR="0076001D" w:rsidRDefault="0034129A">
      <w:pPr>
        <w:spacing w:after="0" w:line="259" w:lineRule="auto"/>
        <w:ind w:left="0" w:firstLine="0"/>
        <w:jc w:val="left"/>
      </w:pPr>
      <w:r>
        <w:rPr>
          <w:sz w:val="21"/>
        </w:rPr>
        <w:t xml:space="preserve"> </w:t>
      </w:r>
    </w:p>
    <w:p w:rsidR="0076001D" w:rsidRDefault="0034129A">
      <w:pPr>
        <w:numPr>
          <w:ilvl w:val="0"/>
          <w:numId w:val="33"/>
        </w:numPr>
        <w:ind w:right="432" w:hanging="360"/>
      </w:pPr>
      <w:r>
        <w:t xml:space="preserve">Se observa que, tras la aparición de cada caso, el área usuaria se comunica directamente con el proveedor sin mediar al proceso de gestión TIC, lo cual ocasiona que se ajusten casos individuales, sin un análisis que permita establecer una solución de fondo. </w:t>
      </w:r>
    </w:p>
    <w:p w:rsidR="0076001D" w:rsidRDefault="0034129A">
      <w:pPr>
        <w:spacing w:after="0" w:line="259" w:lineRule="auto"/>
        <w:ind w:left="0" w:firstLine="0"/>
        <w:jc w:val="left"/>
      </w:pPr>
      <w:r>
        <w:rPr>
          <w:sz w:val="21"/>
        </w:rPr>
        <w:t xml:space="preserve"> </w:t>
      </w:r>
    </w:p>
    <w:p w:rsidR="0076001D" w:rsidRDefault="0034129A">
      <w:pPr>
        <w:numPr>
          <w:ilvl w:val="0"/>
          <w:numId w:val="33"/>
        </w:numPr>
        <w:ind w:right="432" w:hanging="360"/>
      </w:pPr>
      <w:r>
        <w:t xml:space="preserve">Se observa que, si bien el sistema cuenta, con funcionalidades de ajuste de clasificación, el proveedor ha intervenido en hacer ajustes a nivel de bases de datos, lo cual puede poner en riesgo la integridad de los datos. </w:t>
      </w:r>
    </w:p>
    <w:p w:rsidR="0076001D" w:rsidRDefault="0034129A">
      <w:pPr>
        <w:spacing w:after="0" w:line="259" w:lineRule="auto"/>
        <w:ind w:left="0" w:firstLine="0"/>
        <w:jc w:val="left"/>
      </w:pPr>
      <w:r>
        <w:rPr>
          <w:sz w:val="21"/>
        </w:rPr>
        <w:t xml:space="preserve"> </w:t>
      </w:r>
    </w:p>
    <w:p w:rsidR="0076001D" w:rsidRDefault="0034129A">
      <w:pPr>
        <w:numPr>
          <w:ilvl w:val="0"/>
          <w:numId w:val="33"/>
        </w:numPr>
        <w:ind w:right="432" w:hanging="360"/>
      </w:pPr>
      <w:r>
        <w:t xml:space="preserve">A la fecha, no se ha realizado un plan de depuración de la data basado en un diagnóstico de casuística para el diseño de estrategia de corrección en tres frentes: </w:t>
      </w:r>
    </w:p>
    <w:p w:rsidR="0076001D" w:rsidRDefault="0034129A">
      <w:pPr>
        <w:spacing w:after="0" w:line="259" w:lineRule="auto"/>
        <w:ind w:left="0" w:firstLine="0"/>
        <w:jc w:val="left"/>
      </w:pPr>
      <w:r>
        <w:rPr>
          <w:sz w:val="21"/>
        </w:rPr>
        <w:t xml:space="preserve"> </w:t>
      </w:r>
    </w:p>
    <w:p w:rsidR="0076001D" w:rsidRDefault="0034129A">
      <w:pPr>
        <w:numPr>
          <w:ilvl w:val="1"/>
          <w:numId w:val="33"/>
        </w:numPr>
        <w:ind w:hanging="360"/>
      </w:pPr>
      <w:r>
        <w:t xml:space="preserve">Construcción de scripts de </w:t>
      </w:r>
      <w:proofErr w:type="spellStart"/>
      <w:r>
        <w:t>diagnostico</w:t>
      </w:r>
      <w:proofErr w:type="spellEnd"/>
      <w:r>
        <w:t xml:space="preserve"> masivo sobre la base de datos que permitan clasificar cada caso donde los datos rompen la regla de negocio y/o condiciones de integridad referencial. </w:t>
      </w:r>
    </w:p>
    <w:p w:rsidR="0076001D" w:rsidRDefault="0034129A">
      <w:pPr>
        <w:spacing w:after="3" w:line="259" w:lineRule="auto"/>
        <w:ind w:left="0" w:firstLine="0"/>
        <w:jc w:val="left"/>
      </w:pPr>
      <w:r>
        <w:rPr>
          <w:sz w:val="20"/>
        </w:rPr>
        <w:t xml:space="preserve"> </w:t>
      </w:r>
    </w:p>
    <w:p w:rsidR="0076001D" w:rsidRDefault="0034129A">
      <w:pPr>
        <w:numPr>
          <w:ilvl w:val="1"/>
          <w:numId w:val="33"/>
        </w:numPr>
        <w:ind w:hanging="360"/>
      </w:pPr>
      <w:r>
        <w:t>Construcción de scripts de actualización masiva (</w:t>
      </w:r>
      <w:proofErr w:type="spellStart"/>
      <w:r>
        <w:t>updates</w:t>
      </w:r>
      <w:proofErr w:type="spellEnd"/>
      <w:r>
        <w:t xml:space="preserve">) que permitan ajustar casos, tal como reclasificar datos mal categorizados. </w:t>
      </w:r>
    </w:p>
    <w:p w:rsidR="0076001D" w:rsidRDefault="0034129A">
      <w:pPr>
        <w:spacing w:after="159" w:line="259" w:lineRule="auto"/>
        <w:ind w:left="0" w:firstLine="0"/>
        <w:jc w:val="left"/>
      </w:pPr>
      <w:r>
        <w:rPr>
          <w:sz w:val="14"/>
        </w:rPr>
        <w:t xml:space="preserve"> </w:t>
      </w:r>
    </w:p>
    <w:p w:rsidR="0076001D" w:rsidRDefault="0034129A">
      <w:pPr>
        <w:numPr>
          <w:ilvl w:val="1"/>
          <w:numId w:val="33"/>
        </w:numPr>
        <w:spacing w:after="101"/>
        <w:ind w:hanging="360"/>
      </w:pPr>
      <w:r>
        <w:lastRenderedPageBreak/>
        <w:t xml:space="preserve">Identificación de los casos que requieren ajuste manual y la asignación de recursos para esta labor. </w:t>
      </w:r>
    </w:p>
    <w:p w:rsidR="0076001D" w:rsidRDefault="0034129A">
      <w:pPr>
        <w:spacing w:after="0" w:line="259" w:lineRule="auto"/>
        <w:ind w:left="0" w:right="9208" w:firstLine="0"/>
        <w:jc w:val="left"/>
      </w:pPr>
      <w:r>
        <w:rPr>
          <w:sz w:val="34"/>
        </w:rPr>
        <w:t xml:space="preserve"> </w:t>
      </w:r>
    </w:p>
    <w:p w:rsidR="0076001D" w:rsidRDefault="0034129A">
      <w:pPr>
        <w:spacing w:after="104"/>
        <w:ind w:left="716" w:right="433" w:hanging="171"/>
      </w:pPr>
      <w:r>
        <w:rPr>
          <w:noProof/>
          <w:lang w:val="es-ES" w:eastAsia="es-ES"/>
        </w:rPr>
        <w:drawing>
          <wp:inline distT="0" distB="0" distL="0" distR="0">
            <wp:extent cx="227546" cy="136525"/>
            <wp:effectExtent l="0" t="0" r="0" b="0"/>
            <wp:docPr id="19192" name="Picture 19192"/>
            <wp:cNvGraphicFramePr/>
            <a:graphic xmlns:a="http://schemas.openxmlformats.org/drawingml/2006/main">
              <a:graphicData uri="http://schemas.openxmlformats.org/drawingml/2006/picture">
                <pic:pic xmlns:pic="http://schemas.openxmlformats.org/drawingml/2006/picture">
                  <pic:nvPicPr>
                    <pic:cNvPr id="19192" name="Picture 19192"/>
                    <pic:cNvPicPr/>
                  </pic:nvPicPr>
                  <pic:blipFill>
                    <a:blip r:embed="rId8"/>
                    <a:stretch>
                      <a:fillRect/>
                    </a:stretch>
                  </pic:blipFill>
                  <pic:spPr>
                    <a:xfrm>
                      <a:off x="0" y="0"/>
                      <a:ext cx="227546" cy="136525"/>
                    </a:xfrm>
                    <a:prstGeom prst="rect">
                      <a:avLst/>
                    </a:prstGeom>
                  </pic:spPr>
                </pic:pic>
              </a:graphicData>
            </a:graphic>
          </wp:inline>
        </w:drawing>
      </w:r>
      <w:r>
        <w:t xml:space="preserve"> En cuanto a la gestión del conocimiento para la supervisión y administrador de los sistemas de información, se observa una mejora con respecto al año 2019, ya que la contratista a cargo de los sistemas GOOBI y Humano ha gestionado capacitaciones de los proveedores que mejoren el conocimiento y apropiación de la funcionalidad, igualmente se han adelantado los manuales </w:t>
      </w:r>
      <w:r>
        <w:rPr>
          <w:i/>
        </w:rPr>
        <w:t xml:space="preserve">MN-GT-12-09 Manual admón. soporte HUMANO V1.pdf </w:t>
      </w:r>
      <w:r>
        <w:t xml:space="preserve">y </w:t>
      </w:r>
      <w:r>
        <w:rPr>
          <w:i/>
        </w:rPr>
        <w:t>MNGT-12-12 Manual soporte 1 nivel GOOBI V1.pdf</w:t>
      </w:r>
      <w:r>
        <w:t xml:space="preserve">. Sin embargo, aún es preciso fortalecer el conocimiento técnico de las soluciones, que permitan autonomía al IDEP en un proceso de migración de datos, frente al riesgo de que, al realizar el cambio del ERP, no se obtenga apoyo del proveedor de GOOBI para este proceso. </w:t>
      </w:r>
    </w:p>
    <w:p w:rsidR="0076001D" w:rsidRDefault="0034129A">
      <w:pPr>
        <w:spacing w:after="0" w:line="259" w:lineRule="auto"/>
        <w:ind w:left="0" w:right="9208" w:firstLine="0"/>
        <w:jc w:val="left"/>
      </w:pPr>
      <w:r>
        <w:rPr>
          <w:sz w:val="34"/>
        </w:rPr>
        <w:t xml:space="preserve"> </w:t>
      </w:r>
    </w:p>
    <w:p w:rsidR="0076001D" w:rsidRDefault="0034129A">
      <w:pPr>
        <w:ind w:left="716" w:right="431" w:hanging="171"/>
      </w:pPr>
      <w:r>
        <w:rPr>
          <w:noProof/>
          <w:lang w:val="es-ES" w:eastAsia="es-ES"/>
        </w:rPr>
        <w:drawing>
          <wp:inline distT="0" distB="0" distL="0" distR="0">
            <wp:extent cx="227546" cy="136525"/>
            <wp:effectExtent l="0" t="0" r="0" b="0"/>
            <wp:docPr id="19194" name="Picture 19194"/>
            <wp:cNvGraphicFramePr/>
            <a:graphic xmlns:a="http://schemas.openxmlformats.org/drawingml/2006/main">
              <a:graphicData uri="http://schemas.openxmlformats.org/drawingml/2006/picture">
                <pic:pic xmlns:pic="http://schemas.openxmlformats.org/drawingml/2006/picture">
                  <pic:nvPicPr>
                    <pic:cNvPr id="19194" name="Picture 19194"/>
                    <pic:cNvPicPr/>
                  </pic:nvPicPr>
                  <pic:blipFill>
                    <a:blip r:embed="rId8"/>
                    <a:stretch>
                      <a:fillRect/>
                    </a:stretch>
                  </pic:blipFill>
                  <pic:spPr>
                    <a:xfrm>
                      <a:off x="0" y="0"/>
                      <a:ext cx="227546" cy="136525"/>
                    </a:xfrm>
                    <a:prstGeom prst="rect">
                      <a:avLst/>
                    </a:prstGeom>
                  </pic:spPr>
                </pic:pic>
              </a:graphicData>
            </a:graphic>
          </wp:inline>
        </w:drawing>
      </w:r>
      <w:r>
        <w:t xml:space="preserve"> Para efectos de soporte y mantenimiento con el proveedor de Humano, este servicio ha sido mejorado gracias a la modalidad SAAS a la cual fue migrada la solución. En este esquema se disminuye el riesgo de fallas en actualizaciones. Sin embargo, pese a que el módulo de Planta de personal incluye el “</w:t>
      </w:r>
      <w:r>
        <w:rPr>
          <w:i/>
        </w:rPr>
        <w:t>Registro de los datos de cada empleado: la historial laboral y datos personales, competencias, capacidades, remuneraciones  y Labores en la empresa</w:t>
      </w:r>
      <w:r>
        <w:t xml:space="preserve">”, el contrato no es </w:t>
      </w:r>
      <w:proofErr w:type="spellStart"/>
      <w:r>
        <w:t>explicito</w:t>
      </w:r>
      <w:proofErr w:type="spellEnd"/>
      <w:r>
        <w:t xml:space="preserve"> en cuanto a la obligación del proveedor de garantizar la protección de estos datos del acceso indebido y las condiciones de seguridad de los ambientes de alojamiento tanto de los datos transaccionales como de los </w:t>
      </w:r>
      <w:proofErr w:type="spellStart"/>
      <w:r>
        <w:t>backups</w:t>
      </w:r>
      <w:proofErr w:type="spellEnd"/>
      <w:r>
        <w:t>. (</w:t>
      </w:r>
      <w:proofErr w:type="gramStart"/>
      <w:r>
        <w:t>las</w:t>
      </w:r>
      <w:proofErr w:type="gramEnd"/>
      <w:r>
        <w:t xml:space="preserve"> obligaciones 20 y 21 no son explicitas)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right="9208" w:firstLine="0"/>
        <w:jc w:val="left"/>
      </w:pPr>
      <w:r>
        <w:rPr>
          <w:sz w:val="19"/>
        </w:rPr>
        <w:t xml:space="preserve"> </w:t>
      </w:r>
    </w:p>
    <w:p w:rsidR="0076001D" w:rsidRDefault="0034129A">
      <w:pPr>
        <w:ind w:left="716" w:right="432" w:hanging="171"/>
      </w:pPr>
      <w:r>
        <w:rPr>
          <w:noProof/>
          <w:lang w:val="es-ES" w:eastAsia="es-ES"/>
        </w:rPr>
        <w:drawing>
          <wp:inline distT="0" distB="0" distL="0" distR="0">
            <wp:extent cx="227546" cy="136525"/>
            <wp:effectExtent l="0" t="0" r="0" b="0"/>
            <wp:docPr id="19196" name="Picture 19196"/>
            <wp:cNvGraphicFramePr/>
            <a:graphic xmlns:a="http://schemas.openxmlformats.org/drawingml/2006/main">
              <a:graphicData uri="http://schemas.openxmlformats.org/drawingml/2006/picture">
                <pic:pic xmlns:pic="http://schemas.openxmlformats.org/drawingml/2006/picture">
                  <pic:nvPicPr>
                    <pic:cNvPr id="19196" name="Picture 19196"/>
                    <pic:cNvPicPr/>
                  </pic:nvPicPr>
                  <pic:blipFill>
                    <a:blip r:embed="rId8"/>
                    <a:stretch>
                      <a:fillRect/>
                    </a:stretch>
                  </pic:blipFill>
                  <pic:spPr>
                    <a:xfrm>
                      <a:off x="0" y="0"/>
                      <a:ext cx="227546" cy="136525"/>
                    </a:xfrm>
                    <a:prstGeom prst="rect">
                      <a:avLst/>
                    </a:prstGeom>
                  </pic:spPr>
                </pic:pic>
              </a:graphicData>
            </a:graphic>
          </wp:inline>
        </w:drawing>
      </w:r>
      <w:r>
        <w:t xml:space="preserve"> Por otra parte, el servicio de soporte y mantenimiento de GOOBI continúa presentando inconvenientes, tal es el caso del incidente de indisponibilidad total Caso #11- CPS31-2020) reportado el 16 de abril a las 1:56 pm, y originado por el incumplimiento del proveedor en una actualización programada para el 15 de abril y errores en el proceso, que originaron no solo la caída del sistema sino fallas de operación una vez recuperado el servicio. La situación fue resuelta el 17 de abril a las 9:37 am, lo cual significa que tomo 20 horas para la resolución, incumpliendo el ANS establecido en el contrato. Vale aclarar que el proveedor continúa teniendo acceso a los ambientes productivos y haciendo despliegues de manera autónoma, sin que medie un RFC y procesos de </w:t>
      </w:r>
      <w:proofErr w:type="spellStart"/>
      <w:r>
        <w:t>rollback</w:t>
      </w:r>
      <w:proofErr w:type="spellEnd"/>
      <w:r>
        <w:t xml:space="preserve">. Dado que los incidentes no se gestionan en la mesa de servicio, las fechas entre el reporte del incidente (16 de abril) y el registro en la bitácora </w:t>
      </w:r>
      <w:r>
        <w:rPr>
          <w:i/>
        </w:rPr>
        <w:t xml:space="preserve">Incidentes Contrato #31-2020 - GOOBI (3).xlsx </w:t>
      </w:r>
      <w:r>
        <w:t xml:space="preserve">(17 de abril), no coinciden, lo cual dificulta llevar el control de ANS.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firstLine="0"/>
        <w:jc w:val="left"/>
      </w:pPr>
      <w:r>
        <w:rPr>
          <w:sz w:val="20"/>
        </w:rPr>
        <w:t xml:space="preserve"> </w:t>
      </w:r>
    </w:p>
    <w:p w:rsidR="0076001D" w:rsidRDefault="0034129A">
      <w:pPr>
        <w:spacing w:after="0" w:line="259" w:lineRule="auto"/>
        <w:ind w:left="0" w:right="9207" w:firstLine="0"/>
        <w:jc w:val="left"/>
      </w:pPr>
      <w:r>
        <w:rPr>
          <w:sz w:val="19"/>
        </w:rPr>
        <w:t xml:space="preserve"> </w:t>
      </w:r>
    </w:p>
    <w:p w:rsidR="0076001D" w:rsidRDefault="0034129A">
      <w:pPr>
        <w:ind w:left="716" w:right="436" w:hanging="171"/>
      </w:pPr>
      <w:r>
        <w:rPr>
          <w:noProof/>
          <w:lang w:val="es-ES" w:eastAsia="es-ES"/>
        </w:rPr>
        <w:drawing>
          <wp:inline distT="0" distB="0" distL="0" distR="0">
            <wp:extent cx="228600" cy="137160"/>
            <wp:effectExtent l="0" t="0" r="0" b="0"/>
            <wp:docPr id="19198" name="Picture 19198"/>
            <wp:cNvGraphicFramePr/>
            <a:graphic xmlns:a="http://schemas.openxmlformats.org/drawingml/2006/main">
              <a:graphicData uri="http://schemas.openxmlformats.org/drawingml/2006/picture">
                <pic:pic xmlns:pic="http://schemas.openxmlformats.org/drawingml/2006/picture">
                  <pic:nvPicPr>
                    <pic:cNvPr id="19198" name="Picture 19198"/>
                    <pic:cNvPicPr/>
                  </pic:nvPicPr>
                  <pic:blipFill>
                    <a:blip r:embed="rId8"/>
                    <a:stretch>
                      <a:fillRect/>
                    </a:stretch>
                  </pic:blipFill>
                  <pic:spPr>
                    <a:xfrm>
                      <a:off x="0" y="0"/>
                      <a:ext cx="228600" cy="137160"/>
                    </a:xfrm>
                    <a:prstGeom prst="rect">
                      <a:avLst/>
                    </a:prstGeom>
                  </pic:spPr>
                </pic:pic>
              </a:graphicData>
            </a:graphic>
          </wp:inline>
        </w:drawing>
      </w:r>
      <w:r>
        <w:t xml:space="preserve"> Aunque no se cuenta todavía con una metodología documentada y formalizada de gerencia de proyectos de desarrollo interno o de implementación de software adquirido, debidamente articulada con el MRAE y con el MSPI (Dominio 14), se evidencian avances importantes en la estructuración de instrumentos, los cuales se relacionan a continuación. </w:t>
      </w:r>
    </w:p>
    <w:p w:rsidR="0076001D" w:rsidRDefault="0034129A">
      <w:pPr>
        <w:spacing w:after="0" w:line="259" w:lineRule="auto"/>
        <w:ind w:left="0" w:firstLine="0"/>
        <w:jc w:val="left"/>
      </w:pPr>
      <w:r>
        <w:t xml:space="preserve"> </w:t>
      </w:r>
    </w:p>
    <w:tbl>
      <w:tblPr>
        <w:tblStyle w:val="TableGrid"/>
        <w:tblW w:w="9266" w:type="dxa"/>
        <w:tblInd w:w="444" w:type="dxa"/>
        <w:tblCellMar>
          <w:left w:w="113" w:type="dxa"/>
          <w:right w:w="45" w:type="dxa"/>
        </w:tblCellMar>
        <w:tblLook w:val="04A0" w:firstRow="1" w:lastRow="0" w:firstColumn="1" w:lastColumn="0" w:noHBand="0" w:noVBand="1"/>
      </w:tblPr>
      <w:tblGrid>
        <w:gridCol w:w="3085"/>
        <w:gridCol w:w="6181"/>
      </w:tblGrid>
      <w:tr w:rsidR="0076001D">
        <w:trPr>
          <w:trHeight w:val="240"/>
        </w:trPr>
        <w:tc>
          <w:tcPr>
            <w:tcW w:w="308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0"/>
              </w:rPr>
              <w:t xml:space="preserve">INSTRUMENTO </w:t>
            </w:r>
          </w:p>
        </w:tc>
        <w:tc>
          <w:tcPr>
            <w:tcW w:w="618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2" w:firstLine="0"/>
              <w:jc w:val="left"/>
            </w:pPr>
            <w:r>
              <w:rPr>
                <w:b/>
                <w:sz w:val="20"/>
              </w:rPr>
              <w:t xml:space="preserve">OBSERVACIONES AUDTORIA </w:t>
            </w:r>
          </w:p>
        </w:tc>
      </w:tr>
      <w:tr w:rsidR="0076001D">
        <w:trPr>
          <w:trHeight w:val="1620"/>
        </w:trPr>
        <w:tc>
          <w:tcPr>
            <w:tcW w:w="3085" w:type="dxa"/>
            <w:tcBorders>
              <w:top w:val="single" w:sz="4" w:space="0" w:color="000000"/>
              <w:left w:val="single" w:sz="4" w:space="0" w:color="000000"/>
              <w:bottom w:val="single" w:sz="4" w:space="0" w:color="000000"/>
              <w:right w:val="single" w:sz="4" w:space="0" w:color="000000"/>
            </w:tcBorders>
          </w:tcPr>
          <w:p w:rsidR="0076001D" w:rsidRDefault="0034129A">
            <w:pPr>
              <w:tabs>
                <w:tab w:val="right" w:pos="2926"/>
              </w:tabs>
              <w:spacing w:after="0" w:line="259" w:lineRule="auto"/>
              <w:ind w:left="0" w:firstLine="0"/>
              <w:jc w:val="left"/>
            </w:pPr>
            <w:r>
              <w:rPr>
                <w:sz w:val="20"/>
              </w:rPr>
              <w:lastRenderedPageBreak/>
              <w:t xml:space="preserve">CONTEXTO </w:t>
            </w:r>
            <w:r>
              <w:rPr>
                <w:sz w:val="20"/>
              </w:rPr>
              <w:tab/>
              <w:t xml:space="preserve">- </w:t>
            </w:r>
          </w:p>
          <w:p w:rsidR="0076001D" w:rsidRDefault="0034129A">
            <w:pPr>
              <w:tabs>
                <w:tab w:val="right" w:pos="2926"/>
              </w:tabs>
              <w:spacing w:after="0" w:line="259" w:lineRule="auto"/>
              <w:ind w:left="0" w:firstLine="0"/>
              <w:jc w:val="left"/>
            </w:pPr>
            <w:r>
              <w:rPr>
                <w:sz w:val="20"/>
              </w:rPr>
              <w:t xml:space="preserve">MANTENIMIENTO </w:t>
            </w:r>
            <w:r>
              <w:rPr>
                <w:sz w:val="20"/>
              </w:rPr>
              <w:tab/>
              <w:t xml:space="preserve">DEL </w:t>
            </w:r>
          </w:p>
          <w:p w:rsidR="0076001D" w:rsidRDefault="0034129A">
            <w:pPr>
              <w:tabs>
                <w:tab w:val="right" w:pos="2926"/>
              </w:tabs>
              <w:spacing w:after="0" w:line="259" w:lineRule="auto"/>
              <w:ind w:left="0" w:firstLine="0"/>
              <w:jc w:val="left"/>
            </w:pPr>
            <w:r>
              <w:rPr>
                <w:sz w:val="20"/>
              </w:rPr>
              <w:t xml:space="preserve">SISTEMA </w:t>
            </w:r>
            <w:r>
              <w:rPr>
                <w:sz w:val="20"/>
              </w:rPr>
              <w:tab/>
              <w:t xml:space="preserve">DE </w:t>
            </w:r>
          </w:p>
          <w:p w:rsidR="0076001D" w:rsidRDefault="0034129A">
            <w:pPr>
              <w:spacing w:after="0" w:line="259" w:lineRule="auto"/>
              <w:ind w:left="0" w:firstLine="0"/>
              <w:jc w:val="left"/>
            </w:pPr>
            <w:r>
              <w:rPr>
                <w:sz w:val="20"/>
              </w:rPr>
              <w:t xml:space="preserve">INFORMACION.pdf </w:t>
            </w:r>
          </w:p>
        </w:tc>
        <w:tc>
          <w:tcPr>
            <w:tcW w:w="618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2" w:right="65" w:firstLine="0"/>
            </w:pPr>
            <w:r>
              <w:rPr>
                <w:sz w:val="20"/>
              </w:rPr>
              <w:t xml:space="preserve">El documento ofrece un esquema general, pero es preciso ajustarlo a los tres frentes de Desarrollo y Adquisición de sistemas de información: </w:t>
            </w:r>
          </w:p>
          <w:p w:rsidR="0076001D" w:rsidRDefault="0034129A">
            <w:pPr>
              <w:numPr>
                <w:ilvl w:val="0"/>
                <w:numId w:val="46"/>
              </w:numPr>
              <w:spacing w:after="0" w:line="259" w:lineRule="auto"/>
              <w:ind w:hanging="362"/>
              <w:jc w:val="left"/>
            </w:pPr>
            <w:r>
              <w:rPr>
                <w:sz w:val="20"/>
              </w:rPr>
              <w:t xml:space="preserve">Adquisición de software comercial </w:t>
            </w:r>
          </w:p>
          <w:p w:rsidR="0076001D" w:rsidRDefault="0034129A">
            <w:pPr>
              <w:numPr>
                <w:ilvl w:val="0"/>
                <w:numId w:val="46"/>
              </w:numPr>
              <w:spacing w:after="0" w:line="259" w:lineRule="auto"/>
              <w:ind w:hanging="362"/>
              <w:jc w:val="left"/>
            </w:pPr>
            <w:r>
              <w:rPr>
                <w:sz w:val="20"/>
              </w:rPr>
              <w:t xml:space="preserve">Desarrollo de software por encargo a terceros propietarios </w:t>
            </w:r>
          </w:p>
          <w:p w:rsidR="0076001D" w:rsidRDefault="0034129A">
            <w:pPr>
              <w:numPr>
                <w:ilvl w:val="0"/>
                <w:numId w:val="46"/>
              </w:numPr>
              <w:spacing w:after="0" w:line="259" w:lineRule="auto"/>
              <w:ind w:hanging="362"/>
              <w:jc w:val="left"/>
            </w:pPr>
            <w:r>
              <w:rPr>
                <w:sz w:val="20"/>
              </w:rPr>
              <w:t xml:space="preserve">Desarrollos propios (ya sea in </w:t>
            </w:r>
            <w:proofErr w:type="spellStart"/>
            <w:r>
              <w:rPr>
                <w:sz w:val="20"/>
              </w:rPr>
              <w:t>house</w:t>
            </w:r>
            <w:proofErr w:type="spellEnd"/>
            <w:r>
              <w:rPr>
                <w:sz w:val="20"/>
              </w:rPr>
              <w:t xml:space="preserve"> o por encargo a </w:t>
            </w:r>
          </w:p>
          <w:p w:rsidR="0076001D" w:rsidRDefault="0034129A">
            <w:pPr>
              <w:spacing w:after="0" w:line="259" w:lineRule="auto"/>
              <w:ind w:left="362" w:firstLine="0"/>
              <w:jc w:val="left"/>
            </w:pPr>
            <w:r>
              <w:rPr>
                <w:sz w:val="20"/>
              </w:rPr>
              <w:t xml:space="preserve">contratistas) </w:t>
            </w:r>
          </w:p>
        </w:tc>
      </w:tr>
      <w:tr w:rsidR="0076001D">
        <w:trPr>
          <w:trHeight w:val="1390"/>
        </w:trPr>
        <w:tc>
          <w:tcPr>
            <w:tcW w:w="308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pPr>
            <w:r>
              <w:rPr>
                <w:sz w:val="20"/>
              </w:rPr>
              <w:t xml:space="preserve">FT-GT-12-22 Levantamiento Necesidades SI V2 </w:t>
            </w:r>
          </w:p>
        </w:tc>
        <w:tc>
          <w:tcPr>
            <w:tcW w:w="618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2" w:firstLine="0"/>
            </w:pPr>
            <w:r>
              <w:rPr>
                <w:sz w:val="20"/>
              </w:rPr>
              <w:t xml:space="preserve">Si bien tiene información completa de la necesidad, resulta dispendioso llevarlo en registros de Excel. </w:t>
            </w:r>
          </w:p>
          <w:p w:rsidR="0076001D" w:rsidRDefault="0034129A">
            <w:pPr>
              <w:spacing w:after="0" w:line="259" w:lineRule="auto"/>
              <w:ind w:left="2" w:right="67" w:firstLine="0"/>
            </w:pPr>
            <w:r>
              <w:rPr>
                <w:sz w:val="20"/>
              </w:rPr>
              <w:t xml:space="preserve">Se recomienda gestionarlo por la mesa de servicio como un requerimiento de mantenimiento o desarrollo de software. En este caso los ANS </w:t>
            </w:r>
            <w:proofErr w:type="gramStart"/>
            <w:r>
              <w:rPr>
                <w:sz w:val="20"/>
              </w:rPr>
              <w:t>corresponde</w:t>
            </w:r>
            <w:proofErr w:type="gramEnd"/>
            <w:r>
              <w:rPr>
                <w:sz w:val="20"/>
              </w:rPr>
              <w:t xml:space="preserve"> al tiempo para levantar la especificación. </w:t>
            </w:r>
          </w:p>
        </w:tc>
      </w:tr>
      <w:tr w:rsidR="0076001D">
        <w:trPr>
          <w:trHeight w:val="3228"/>
        </w:trPr>
        <w:tc>
          <w:tcPr>
            <w:tcW w:w="3085" w:type="dxa"/>
            <w:tcBorders>
              <w:top w:val="single" w:sz="4" w:space="0" w:color="000000"/>
              <w:left w:val="single" w:sz="4" w:space="0" w:color="000000"/>
              <w:bottom w:val="single" w:sz="4" w:space="0" w:color="000000"/>
              <w:right w:val="single" w:sz="4" w:space="0" w:color="000000"/>
            </w:tcBorders>
          </w:tcPr>
          <w:p w:rsidR="0076001D" w:rsidRDefault="0034129A">
            <w:pPr>
              <w:tabs>
                <w:tab w:val="right" w:pos="2926"/>
              </w:tabs>
              <w:spacing w:after="0" w:line="259" w:lineRule="auto"/>
              <w:ind w:left="0" w:firstLine="0"/>
              <w:jc w:val="left"/>
            </w:pPr>
            <w:r>
              <w:rPr>
                <w:sz w:val="20"/>
              </w:rPr>
              <w:t xml:space="preserve">FT-GT-XX-XX </w:t>
            </w:r>
            <w:r>
              <w:rPr>
                <w:sz w:val="20"/>
              </w:rPr>
              <w:tab/>
              <w:t xml:space="preserve">Especificación </w:t>
            </w:r>
          </w:p>
          <w:p w:rsidR="0076001D" w:rsidRDefault="0034129A">
            <w:pPr>
              <w:spacing w:after="0" w:line="259" w:lineRule="auto"/>
              <w:ind w:left="0" w:firstLine="0"/>
              <w:jc w:val="left"/>
            </w:pPr>
            <w:r>
              <w:rPr>
                <w:sz w:val="20"/>
              </w:rPr>
              <w:t xml:space="preserve">Requerimientos SI.xlsx </w:t>
            </w:r>
          </w:p>
          <w:p w:rsidR="0076001D" w:rsidRDefault="0034129A">
            <w:pPr>
              <w:spacing w:after="0" w:line="259" w:lineRule="auto"/>
              <w:ind w:left="0" w:firstLine="0"/>
            </w:pPr>
            <w:r>
              <w:rPr>
                <w:sz w:val="20"/>
              </w:rPr>
              <w:t xml:space="preserve">FT-GT-XX-XX Requerimientos del Sistema de Información.xlsx </w:t>
            </w:r>
          </w:p>
        </w:tc>
        <w:tc>
          <w:tcPr>
            <w:tcW w:w="618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2" w:right="65" w:firstLine="0"/>
            </w:pPr>
            <w:r>
              <w:rPr>
                <w:sz w:val="20"/>
              </w:rPr>
              <w:t xml:space="preserve">Si bien incluyen información relevante, se observa que hay datos repetidos en los dos formatos y criterios de aceptación que pueden ser llevados a un componente de pruebas de aceptación. </w:t>
            </w:r>
          </w:p>
          <w:p w:rsidR="0076001D" w:rsidRDefault="0034129A">
            <w:pPr>
              <w:spacing w:after="0" w:line="259" w:lineRule="auto"/>
              <w:ind w:left="2" w:firstLine="0"/>
              <w:jc w:val="left"/>
            </w:pPr>
            <w:r>
              <w:rPr>
                <w:sz w:val="20"/>
              </w:rPr>
              <w:t xml:space="preserve">Se recomienda segmentarlos en tres formatos: </w:t>
            </w:r>
          </w:p>
          <w:p w:rsidR="0076001D" w:rsidRDefault="0034129A">
            <w:pPr>
              <w:numPr>
                <w:ilvl w:val="0"/>
                <w:numId w:val="47"/>
              </w:numPr>
              <w:spacing w:after="0" w:line="241" w:lineRule="auto"/>
              <w:ind w:hanging="360"/>
            </w:pPr>
            <w:r>
              <w:rPr>
                <w:sz w:val="20"/>
              </w:rPr>
              <w:t xml:space="preserve">Especificación funcional y no funcional con </w:t>
            </w:r>
            <w:proofErr w:type="spellStart"/>
            <w:r>
              <w:rPr>
                <w:sz w:val="20"/>
              </w:rPr>
              <w:t>mockups</w:t>
            </w:r>
            <w:proofErr w:type="spellEnd"/>
            <w:r>
              <w:rPr>
                <w:sz w:val="20"/>
              </w:rPr>
              <w:t xml:space="preserve"> que permitan el total entendimiento del usuario quien debe firmarlo como condición para paso a diseño y desarrollo. Se recomienda manejarlo en Word para facilitar la trazabilidad de comentarios y ajustes entre analista, usuario y proveedor (cuando aplique). </w:t>
            </w:r>
          </w:p>
          <w:p w:rsidR="0076001D" w:rsidRDefault="0034129A">
            <w:pPr>
              <w:numPr>
                <w:ilvl w:val="0"/>
                <w:numId w:val="47"/>
              </w:numPr>
              <w:spacing w:after="0" w:line="241" w:lineRule="auto"/>
              <w:ind w:hanging="360"/>
            </w:pPr>
            <w:r>
              <w:rPr>
                <w:sz w:val="20"/>
              </w:rPr>
              <w:t xml:space="preserve">Especificación técnica: que podría ser una versión extendida de la historia de usuario </w:t>
            </w:r>
          </w:p>
          <w:p w:rsidR="0076001D" w:rsidRDefault="0034129A">
            <w:pPr>
              <w:numPr>
                <w:ilvl w:val="0"/>
                <w:numId w:val="47"/>
              </w:numPr>
              <w:spacing w:after="0" w:line="259" w:lineRule="auto"/>
              <w:ind w:hanging="360"/>
            </w:pPr>
            <w:r>
              <w:rPr>
                <w:sz w:val="20"/>
              </w:rPr>
              <w:t xml:space="preserve">Formato de pruebas de aceptación tanto funcionales como no funcionales. </w:t>
            </w:r>
          </w:p>
        </w:tc>
      </w:tr>
      <w:tr w:rsidR="0076001D">
        <w:trPr>
          <w:trHeight w:val="1159"/>
        </w:trPr>
        <w:tc>
          <w:tcPr>
            <w:tcW w:w="308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0" w:firstLine="0"/>
            </w:pPr>
            <w:r>
              <w:rPr>
                <w:sz w:val="20"/>
              </w:rPr>
              <w:t xml:space="preserve">PRO - GT - MANTENIMIENTO AL CICLO DE VIDA DE LOS </w:t>
            </w:r>
          </w:p>
          <w:p w:rsidR="0076001D" w:rsidRDefault="0034129A">
            <w:pPr>
              <w:spacing w:after="0" w:line="259" w:lineRule="auto"/>
              <w:ind w:left="0" w:firstLine="0"/>
            </w:pPr>
            <w:r>
              <w:rPr>
                <w:sz w:val="20"/>
              </w:rPr>
              <w:t xml:space="preserve">SISTEMAS DE INFORMACION </w:t>
            </w:r>
          </w:p>
          <w:p w:rsidR="0076001D" w:rsidRDefault="0034129A">
            <w:pPr>
              <w:spacing w:after="0" w:line="259" w:lineRule="auto"/>
              <w:ind w:left="0" w:firstLine="0"/>
              <w:jc w:val="left"/>
            </w:pPr>
            <w:r>
              <w:rPr>
                <w:sz w:val="20"/>
              </w:rPr>
              <w:t xml:space="preserve">V1.xlsx </w:t>
            </w:r>
          </w:p>
        </w:tc>
        <w:tc>
          <w:tcPr>
            <w:tcW w:w="618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2" w:firstLine="0"/>
              <w:jc w:val="left"/>
            </w:pPr>
            <w:r>
              <w:rPr>
                <w:sz w:val="20"/>
              </w:rPr>
              <w:t xml:space="preserve">Debe ser ajustado al dominio 14 del MSPI, y actualizado en los registros una vez definidos y unificados. </w:t>
            </w:r>
          </w:p>
          <w:p w:rsidR="0076001D" w:rsidRDefault="0034129A">
            <w:pPr>
              <w:spacing w:after="0" w:line="241" w:lineRule="auto"/>
              <w:ind w:left="2" w:firstLine="0"/>
              <w:jc w:val="left"/>
            </w:pPr>
            <w:r>
              <w:rPr>
                <w:sz w:val="20"/>
              </w:rPr>
              <w:t xml:space="preserve">Deben ser incluidos formatos de cambios RFC para los despliegues. </w:t>
            </w:r>
          </w:p>
          <w:p w:rsidR="0076001D" w:rsidRDefault="0034129A">
            <w:pPr>
              <w:spacing w:after="0" w:line="259" w:lineRule="auto"/>
              <w:ind w:left="2" w:firstLine="0"/>
              <w:jc w:val="left"/>
            </w:pPr>
            <w:r>
              <w:rPr>
                <w:sz w:val="20"/>
              </w:rPr>
              <w:t xml:space="preserve">Deben ser incluidos los formatos de entrega de conocimiento. </w:t>
            </w:r>
          </w:p>
        </w:tc>
      </w:tr>
    </w:tbl>
    <w:p w:rsidR="0076001D" w:rsidRDefault="0034129A">
      <w:pPr>
        <w:spacing w:after="115" w:line="251" w:lineRule="auto"/>
        <w:ind w:left="0" w:right="10053" w:firstLine="0"/>
      </w:pPr>
      <w:r>
        <w:rPr>
          <w:sz w:val="20"/>
        </w:rPr>
        <w:t xml:space="preserve"> </w:t>
      </w:r>
      <w:r>
        <w:rPr>
          <w:sz w:val="19"/>
        </w:rPr>
        <w:t xml:space="preserve"> </w:t>
      </w:r>
    </w:p>
    <w:p w:rsidR="0076001D" w:rsidRDefault="0034129A">
      <w:pPr>
        <w:spacing w:after="0" w:line="259" w:lineRule="auto"/>
        <w:ind w:left="10" w:right="4786" w:hanging="10"/>
        <w:jc w:val="right"/>
      </w:pPr>
      <w:r>
        <w:rPr>
          <w:b/>
        </w:rPr>
        <w:t xml:space="preserve">5.3.1 Seguimiento a Recomendaciones 2019 </w:t>
      </w:r>
    </w:p>
    <w:p w:rsidR="0076001D" w:rsidRDefault="0034129A">
      <w:pPr>
        <w:spacing w:after="55" w:line="259" w:lineRule="auto"/>
        <w:ind w:left="0" w:firstLine="0"/>
        <w:jc w:val="left"/>
      </w:pPr>
      <w:r>
        <w:rPr>
          <w:b/>
          <w:sz w:val="20"/>
        </w:rPr>
        <w:t xml:space="preserve"> </w:t>
      </w:r>
    </w:p>
    <w:p w:rsidR="0076001D" w:rsidRDefault="0034129A">
      <w:pPr>
        <w:spacing w:after="0" w:line="259" w:lineRule="auto"/>
        <w:ind w:left="0" w:firstLine="0"/>
        <w:jc w:val="left"/>
      </w:pPr>
      <w:r>
        <w:rPr>
          <w:b/>
          <w:sz w:val="27"/>
        </w:rPr>
        <w:t xml:space="preserve"> </w:t>
      </w:r>
    </w:p>
    <w:tbl>
      <w:tblPr>
        <w:tblStyle w:val="TableGrid"/>
        <w:tblW w:w="9619" w:type="dxa"/>
        <w:tblInd w:w="164" w:type="dxa"/>
        <w:tblCellMar>
          <w:top w:w="7" w:type="dxa"/>
        </w:tblCellMar>
        <w:tblLook w:val="04A0" w:firstRow="1" w:lastRow="0" w:firstColumn="1" w:lastColumn="0" w:noHBand="0" w:noVBand="1"/>
      </w:tblPr>
      <w:tblGrid>
        <w:gridCol w:w="634"/>
        <w:gridCol w:w="4011"/>
        <w:gridCol w:w="567"/>
        <w:gridCol w:w="4407"/>
      </w:tblGrid>
      <w:tr w:rsidR="0076001D">
        <w:trPr>
          <w:trHeight w:val="258"/>
        </w:trPr>
        <w:tc>
          <w:tcPr>
            <w:tcW w:w="63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center"/>
            </w:pPr>
            <w:r>
              <w:rPr>
                <w:b/>
                <w:sz w:val="20"/>
              </w:rPr>
              <w:t xml:space="preserve">N°. </w:t>
            </w:r>
          </w:p>
        </w:tc>
        <w:tc>
          <w:tcPr>
            <w:tcW w:w="401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2" w:firstLine="0"/>
              <w:jc w:val="center"/>
            </w:pPr>
            <w:r>
              <w:rPr>
                <w:b/>
                <w:sz w:val="20"/>
              </w:rPr>
              <w:t xml:space="preserve">Recomendación 2019 </w:t>
            </w:r>
          </w:p>
        </w:tc>
        <w:tc>
          <w:tcPr>
            <w:tcW w:w="567"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4408"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2" w:firstLine="0"/>
              <w:jc w:val="center"/>
            </w:pPr>
            <w:r>
              <w:rPr>
                <w:b/>
                <w:sz w:val="20"/>
              </w:rPr>
              <w:t xml:space="preserve">Seguimiento 2020 </w:t>
            </w:r>
          </w:p>
        </w:tc>
      </w:tr>
      <w:tr w:rsidR="0076001D">
        <w:trPr>
          <w:trHeight w:val="2855"/>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14" w:line="259" w:lineRule="auto"/>
              <w:ind w:left="5" w:firstLine="0"/>
              <w:jc w:val="left"/>
            </w:pPr>
            <w:r>
              <w:rPr>
                <w:b/>
              </w:rPr>
              <w:t xml:space="preserve"> </w:t>
            </w:r>
          </w:p>
          <w:p w:rsidR="0076001D" w:rsidRDefault="0034129A">
            <w:pPr>
              <w:spacing w:after="0" w:line="259" w:lineRule="auto"/>
              <w:ind w:left="5" w:firstLine="0"/>
              <w:jc w:val="left"/>
            </w:pPr>
            <w:r>
              <w:rPr>
                <w:b/>
                <w:sz w:val="25"/>
              </w:rPr>
              <w:t xml:space="preserve"> </w:t>
            </w:r>
          </w:p>
          <w:p w:rsidR="0076001D" w:rsidRDefault="0034129A">
            <w:pPr>
              <w:spacing w:after="0" w:line="259" w:lineRule="auto"/>
              <w:ind w:left="0" w:right="-9" w:firstLine="0"/>
              <w:jc w:val="right"/>
            </w:pPr>
            <w:r>
              <w:rPr>
                <w:sz w:val="20"/>
              </w:rPr>
              <w:t>1.</w:t>
            </w:r>
          </w:p>
        </w:tc>
        <w:tc>
          <w:tcPr>
            <w:tcW w:w="40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3" w:right="101" w:firstLine="0"/>
            </w:pPr>
            <w:r>
              <w:rPr>
                <w:sz w:val="20"/>
              </w:rPr>
              <w:t xml:space="preserve">Como parte de la metodología de gestión de programas y proyectos TIC en atención al dominio de Gobierno Digital, elaborar, formalizar y poner en operación un procedimiento de control de cambios que permita llevar trazabilidad y control sobre los cambios impactados por los proveedores. Incluir formatos de documentación de cambios y medias de seguridad para mitigar las fallas en uso productivo por cambios no gestionados. </w:t>
            </w:r>
          </w:p>
        </w:tc>
        <w:tc>
          <w:tcPr>
            <w:tcW w:w="56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sz w:val="20"/>
              </w:rPr>
              <w:t xml:space="preserve"> </w:t>
            </w:r>
          </w:p>
          <w:p w:rsidR="0076001D" w:rsidRDefault="0034129A">
            <w:pPr>
              <w:spacing w:after="0" w:line="259" w:lineRule="auto"/>
              <w:ind w:left="5" w:firstLine="0"/>
              <w:jc w:val="left"/>
            </w:pPr>
            <w:r>
              <w:rPr>
                <w:b/>
                <w:sz w:val="20"/>
              </w:rPr>
              <w:t xml:space="preserve"> </w:t>
            </w:r>
          </w:p>
          <w:p w:rsidR="0076001D" w:rsidRDefault="0034129A">
            <w:pPr>
              <w:spacing w:after="14" w:line="259" w:lineRule="auto"/>
              <w:ind w:left="5" w:firstLine="0"/>
              <w:jc w:val="left"/>
            </w:pPr>
            <w:r>
              <w:rPr>
                <w:b/>
                <w:sz w:val="20"/>
              </w:rPr>
              <w:t xml:space="preserve"> </w:t>
            </w:r>
          </w:p>
          <w:p w:rsidR="0076001D" w:rsidRDefault="0034129A">
            <w:pPr>
              <w:spacing w:after="0" w:line="259" w:lineRule="auto"/>
              <w:ind w:left="5" w:firstLine="0"/>
              <w:jc w:val="left"/>
            </w:pPr>
            <w:r>
              <w:rPr>
                <w:b/>
                <w:sz w:val="23"/>
              </w:rPr>
              <w:t xml:space="preserve"> </w:t>
            </w:r>
          </w:p>
          <w:p w:rsidR="0076001D" w:rsidRDefault="0034129A">
            <w:pPr>
              <w:spacing w:after="0" w:line="259" w:lineRule="auto"/>
              <w:ind w:left="50" w:firstLine="0"/>
              <w:jc w:val="left"/>
            </w:pPr>
            <w:r>
              <w:rPr>
                <w:rFonts w:ascii="Calibri" w:eastAsia="Calibri" w:hAnsi="Calibri" w:cs="Calibri"/>
                <w:noProof/>
                <w:lang w:val="es-ES" w:eastAsia="es-ES"/>
              </w:rPr>
              <mc:AlternateContent>
                <mc:Choice Requires="wpg">
                  <w:drawing>
                    <wp:inline distT="0" distB="0" distL="0" distR="0">
                      <wp:extent cx="304800" cy="209550"/>
                      <wp:effectExtent l="0" t="0" r="0" b="0"/>
                      <wp:docPr id="199563" name="Group 199563"/>
                      <wp:cNvGraphicFramePr/>
                      <a:graphic xmlns:a="http://schemas.openxmlformats.org/drawingml/2006/main">
                        <a:graphicData uri="http://schemas.microsoft.com/office/word/2010/wordprocessingGroup">
                          <wpg:wgp>
                            <wpg:cNvGrpSpPr/>
                            <wpg:grpSpPr>
                              <a:xfrm>
                                <a:off x="0" y="0"/>
                                <a:ext cx="304800" cy="209550"/>
                                <a:chOff x="0" y="0"/>
                                <a:chExt cx="304800" cy="209550"/>
                              </a:xfrm>
                            </wpg:grpSpPr>
                            <wps:wsp>
                              <wps:cNvPr id="19631" name="Shape 19631"/>
                              <wps:cNvSpPr/>
                              <wps:spPr>
                                <a:xfrm>
                                  <a:off x="0" y="0"/>
                                  <a:ext cx="304800" cy="209550"/>
                                </a:xfrm>
                                <a:custGeom>
                                  <a:avLst/>
                                  <a:gdLst/>
                                  <a:ahLst/>
                                  <a:cxnLst/>
                                  <a:rect l="0" t="0" r="0" b="0"/>
                                  <a:pathLst>
                                    <a:path w="304800" h="209550">
                                      <a:moveTo>
                                        <a:pt x="228600" y="0"/>
                                      </a:moveTo>
                                      <a:lnTo>
                                        <a:pt x="304800" y="104775"/>
                                      </a:lnTo>
                                      <a:lnTo>
                                        <a:pt x="228600" y="209550"/>
                                      </a:lnTo>
                                      <a:lnTo>
                                        <a:pt x="228600" y="156845"/>
                                      </a:lnTo>
                                      <a:lnTo>
                                        <a:pt x="0" y="156845"/>
                                      </a:lnTo>
                                      <a:lnTo>
                                        <a:pt x="0" y="52070"/>
                                      </a:lnTo>
                                      <a:lnTo>
                                        <a:pt x="228600" y="52070"/>
                                      </a:lnTo>
                                      <a:lnTo>
                                        <a:pt x="228600" y="0"/>
                                      </a:lnTo>
                                      <a:close/>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19632" name="Shape 19632"/>
                              <wps:cNvSpPr/>
                              <wps:spPr>
                                <a:xfrm>
                                  <a:off x="0" y="0"/>
                                  <a:ext cx="304800" cy="209550"/>
                                </a:xfrm>
                                <a:custGeom>
                                  <a:avLst/>
                                  <a:gdLst/>
                                  <a:ahLst/>
                                  <a:cxnLst/>
                                  <a:rect l="0" t="0" r="0" b="0"/>
                                  <a:pathLst>
                                    <a:path w="304800" h="209550">
                                      <a:moveTo>
                                        <a:pt x="228600" y="0"/>
                                      </a:moveTo>
                                      <a:lnTo>
                                        <a:pt x="228600" y="52070"/>
                                      </a:lnTo>
                                      <a:lnTo>
                                        <a:pt x="0" y="52070"/>
                                      </a:lnTo>
                                      <a:lnTo>
                                        <a:pt x="0" y="156845"/>
                                      </a:lnTo>
                                      <a:lnTo>
                                        <a:pt x="228600" y="156845"/>
                                      </a:lnTo>
                                      <a:lnTo>
                                        <a:pt x="228600" y="209550"/>
                                      </a:lnTo>
                                      <a:lnTo>
                                        <a:pt x="304800" y="104775"/>
                                      </a:lnTo>
                                      <a:lnTo>
                                        <a:pt x="2286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99563" style="width:24pt;height:16.5pt;mso-position-horizontal-relative:char;mso-position-vertical-relative:line" coordsize="3048,2095">
                      <v:shape id="Shape 19631" style="position:absolute;width:3048;height:2095;left:0;top:0;" coordsize="304800,209550" path="m228600,0l304800,104775l228600,209550l228600,156845l0,156845l0,52070l228600,52070l228600,0x">
                        <v:stroke weight="0pt" endcap="flat" joinstyle="miter" miterlimit="10" on="false" color="#000000" opacity="0"/>
                        <v:fill on="true" color="#ffd966"/>
                      </v:shape>
                      <v:shape id="Shape 19632" style="position:absolute;width:3048;height:2095;left:0;top:0;" coordsize="304800,209550" path="m228600,0l228600,52070l0,52070l0,156845l228600,156845l228600,209550l304800,104775l228600,0x">
                        <v:stroke weight="0.75pt" endcap="flat" joinstyle="round" on="true" color="#000000"/>
                        <v:fill on="false" color="#000000" opacity="0"/>
                      </v:shape>
                    </v:group>
                  </w:pict>
                </mc:Fallback>
              </mc:AlternateContent>
            </w:r>
          </w:p>
        </w:tc>
        <w:tc>
          <w:tcPr>
            <w:tcW w:w="440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77" w:lineRule="auto"/>
              <w:ind w:left="113" w:right="105" w:firstLine="0"/>
            </w:pPr>
            <w:r>
              <w:rPr>
                <w:sz w:val="20"/>
              </w:rPr>
              <w:t xml:space="preserve">A la fecha no se ha adelantado el procedimiento de Gestión de cambios para dar cumplimiento a los lineamientos MSPI (12.1.2 Gestión de cambios, 14.2.2 Procedimientos de control de cambios en los sistemas, 14.2.3 Revisión </w:t>
            </w:r>
          </w:p>
          <w:p w:rsidR="0076001D" w:rsidRDefault="0034129A">
            <w:pPr>
              <w:spacing w:after="0" w:line="259" w:lineRule="auto"/>
              <w:ind w:left="-10" w:firstLine="0"/>
              <w:jc w:val="left"/>
            </w:pPr>
            <w:r>
              <w:rPr>
                <w:sz w:val="20"/>
              </w:rPr>
              <w:t xml:space="preserve"> </w:t>
            </w:r>
          </w:p>
          <w:p w:rsidR="0076001D" w:rsidRDefault="0034129A">
            <w:pPr>
              <w:spacing w:after="2" w:line="277" w:lineRule="auto"/>
              <w:ind w:left="113" w:firstLine="0"/>
            </w:pPr>
            <w:r>
              <w:rPr>
                <w:sz w:val="20"/>
              </w:rPr>
              <w:t xml:space="preserve">técnica de las aplicaciones tras efectuar cambios en la plataforma operativa y </w:t>
            </w:r>
          </w:p>
          <w:p w:rsidR="0076001D" w:rsidRDefault="0034129A">
            <w:pPr>
              <w:spacing w:after="194" w:line="279" w:lineRule="auto"/>
              <w:ind w:left="113" w:firstLine="0"/>
            </w:pPr>
            <w:r>
              <w:rPr>
                <w:sz w:val="20"/>
              </w:rPr>
              <w:t xml:space="preserve">14.2.4 Restricciones a los cambios en los paquetes de software) </w:t>
            </w:r>
          </w:p>
          <w:p w:rsidR="0076001D" w:rsidRDefault="0034129A">
            <w:pPr>
              <w:spacing w:after="0" w:line="259" w:lineRule="auto"/>
              <w:ind w:left="113" w:firstLine="0"/>
              <w:jc w:val="left"/>
            </w:pPr>
            <w:r>
              <w:rPr>
                <w:sz w:val="20"/>
              </w:rPr>
              <w:t xml:space="preserve">Sn embargo, se reconoce que se adelantan </w:t>
            </w:r>
          </w:p>
        </w:tc>
      </w:tr>
    </w:tbl>
    <w:p w:rsidR="0076001D" w:rsidRDefault="0034129A">
      <w:pPr>
        <w:spacing w:after="0" w:line="259" w:lineRule="auto"/>
        <w:ind w:left="0" w:firstLine="0"/>
        <w:jc w:val="left"/>
      </w:pPr>
      <w:r>
        <w:rPr>
          <w:b/>
        </w:rPr>
        <w:t xml:space="preserve"> </w:t>
      </w:r>
    </w:p>
    <w:tbl>
      <w:tblPr>
        <w:tblStyle w:val="TableGrid"/>
        <w:tblW w:w="9619" w:type="dxa"/>
        <w:tblInd w:w="164" w:type="dxa"/>
        <w:tblCellMar>
          <w:top w:w="6" w:type="dxa"/>
        </w:tblCellMar>
        <w:tblLook w:val="04A0" w:firstRow="1" w:lastRow="0" w:firstColumn="1" w:lastColumn="0" w:noHBand="0" w:noVBand="1"/>
      </w:tblPr>
      <w:tblGrid>
        <w:gridCol w:w="633"/>
        <w:gridCol w:w="4011"/>
        <w:gridCol w:w="567"/>
        <w:gridCol w:w="4408"/>
      </w:tblGrid>
      <w:tr w:rsidR="0076001D">
        <w:trPr>
          <w:trHeight w:val="257"/>
        </w:trPr>
        <w:tc>
          <w:tcPr>
            <w:tcW w:w="63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center"/>
            </w:pPr>
            <w:r>
              <w:rPr>
                <w:b/>
                <w:sz w:val="20"/>
              </w:rPr>
              <w:lastRenderedPageBreak/>
              <w:t xml:space="preserve">N°. </w:t>
            </w:r>
          </w:p>
        </w:tc>
        <w:tc>
          <w:tcPr>
            <w:tcW w:w="401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right="2" w:firstLine="0"/>
              <w:jc w:val="center"/>
            </w:pPr>
            <w:r>
              <w:rPr>
                <w:b/>
                <w:sz w:val="20"/>
              </w:rPr>
              <w:t xml:space="preserve">Recomendación 2019 </w:t>
            </w:r>
          </w:p>
        </w:tc>
        <w:tc>
          <w:tcPr>
            <w:tcW w:w="567"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4408"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2" w:firstLine="0"/>
              <w:jc w:val="center"/>
            </w:pPr>
            <w:r>
              <w:rPr>
                <w:b/>
                <w:sz w:val="20"/>
              </w:rPr>
              <w:t xml:space="preserve">Seguimiento 2020 </w:t>
            </w:r>
          </w:p>
        </w:tc>
      </w:tr>
      <w:tr w:rsidR="0076001D">
        <w:trPr>
          <w:trHeight w:val="3393"/>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40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4408"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77" w:lineRule="auto"/>
              <w:ind w:left="113" w:right="103" w:firstLine="0"/>
            </w:pPr>
            <w:proofErr w:type="gramStart"/>
            <w:r>
              <w:rPr>
                <w:sz w:val="20"/>
              </w:rPr>
              <w:t>actas</w:t>
            </w:r>
            <w:proofErr w:type="gramEnd"/>
            <w:r>
              <w:rPr>
                <w:sz w:val="20"/>
              </w:rPr>
              <w:t xml:space="preserve"> para evidenciar los resultados de cambios en la infraestructura, las cuales si bien no corresponden al lineamiento MSPI si aportan memoria y formalidad sobre los impactos. </w:t>
            </w:r>
          </w:p>
          <w:p w:rsidR="0076001D" w:rsidRDefault="0034129A">
            <w:pPr>
              <w:spacing w:after="12" w:line="259" w:lineRule="auto"/>
              <w:ind w:left="5" w:firstLine="0"/>
              <w:jc w:val="left"/>
            </w:pPr>
            <w:r>
              <w:rPr>
                <w:b/>
                <w:sz w:val="17"/>
              </w:rPr>
              <w:t xml:space="preserve"> </w:t>
            </w:r>
          </w:p>
          <w:p w:rsidR="0076001D" w:rsidRDefault="0034129A">
            <w:pPr>
              <w:spacing w:after="0" w:line="259" w:lineRule="auto"/>
              <w:ind w:left="113" w:firstLine="0"/>
              <w:jc w:val="left"/>
            </w:pPr>
            <w:r>
              <w:rPr>
                <w:sz w:val="20"/>
              </w:rPr>
              <w:t xml:space="preserve">Tal es el caso de: </w:t>
            </w:r>
          </w:p>
          <w:p w:rsidR="0076001D" w:rsidRDefault="0034129A">
            <w:pPr>
              <w:spacing w:after="0" w:line="259" w:lineRule="auto"/>
              <w:ind w:left="5" w:firstLine="0"/>
              <w:jc w:val="left"/>
            </w:pPr>
            <w:r>
              <w:rPr>
                <w:b/>
                <w:sz w:val="20"/>
              </w:rPr>
              <w:t xml:space="preserve"> </w:t>
            </w:r>
          </w:p>
          <w:p w:rsidR="0076001D" w:rsidRDefault="0034129A">
            <w:pPr>
              <w:numPr>
                <w:ilvl w:val="0"/>
                <w:numId w:val="48"/>
              </w:numPr>
              <w:spacing w:after="0" w:line="259" w:lineRule="auto"/>
              <w:ind w:left="820" w:hanging="350"/>
              <w:jc w:val="left"/>
            </w:pPr>
            <w:r>
              <w:rPr>
                <w:sz w:val="20"/>
              </w:rPr>
              <w:t xml:space="preserve">Migración de humano </w:t>
            </w:r>
          </w:p>
          <w:p w:rsidR="0076001D" w:rsidRDefault="0034129A">
            <w:pPr>
              <w:spacing w:after="0" w:line="259" w:lineRule="auto"/>
              <w:ind w:left="5" w:firstLine="0"/>
              <w:jc w:val="left"/>
            </w:pPr>
            <w:r>
              <w:rPr>
                <w:b/>
                <w:sz w:val="20"/>
              </w:rPr>
              <w:t xml:space="preserve"> </w:t>
            </w:r>
          </w:p>
          <w:p w:rsidR="0076001D" w:rsidRDefault="0034129A">
            <w:pPr>
              <w:numPr>
                <w:ilvl w:val="0"/>
                <w:numId w:val="48"/>
              </w:numPr>
              <w:spacing w:after="0" w:line="259" w:lineRule="auto"/>
              <w:ind w:left="820" w:hanging="350"/>
              <w:jc w:val="left"/>
            </w:pPr>
            <w:r>
              <w:rPr>
                <w:sz w:val="20"/>
              </w:rPr>
              <w:t xml:space="preserve">Implementación IPV6 </w:t>
            </w:r>
          </w:p>
          <w:p w:rsidR="0076001D" w:rsidRDefault="0034129A">
            <w:pPr>
              <w:spacing w:after="0" w:line="259" w:lineRule="auto"/>
              <w:ind w:left="5" w:firstLine="0"/>
              <w:jc w:val="left"/>
            </w:pPr>
            <w:r>
              <w:rPr>
                <w:b/>
                <w:sz w:val="20"/>
              </w:rPr>
              <w:t xml:space="preserve"> </w:t>
            </w:r>
          </w:p>
          <w:p w:rsidR="0076001D" w:rsidRDefault="0034129A">
            <w:pPr>
              <w:numPr>
                <w:ilvl w:val="0"/>
                <w:numId w:val="48"/>
              </w:numPr>
              <w:spacing w:after="0" w:line="259" w:lineRule="auto"/>
              <w:ind w:left="820" w:hanging="350"/>
              <w:jc w:val="left"/>
            </w:pPr>
            <w:r>
              <w:rPr>
                <w:sz w:val="20"/>
              </w:rPr>
              <w:t xml:space="preserve">Implementación Renata </w:t>
            </w:r>
          </w:p>
        </w:tc>
      </w:tr>
      <w:tr w:rsidR="0076001D">
        <w:trPr>
          <w:trHeight w:val="1390"/>
        </w:trPr>
        <w:tc>
          <w:tcPr>
            <w:tcW w:w="634" w:type="dxa"/>
            <w:tcBorders>
              <w:top w:val="single" w:sz="4" w:space="0" w:color="000000"/>
              <w:left w:val="single" w:sz="4" w:space="0" w:color="000000"/>
              <w:bottom w:val="single" w:sz="4" w:space="0" w:color="000000"/>
              <w:right w:val="single" w:sz="4" w:space="0" w:color="000000"/>
            </w:tcBorders>
          </w:tcPr>
          <w:p w:rsidR="0076001D" w:rsidRDefault="0034129A">
            <w:pPr>
              <w:spacing w:after="35" w:line="259" w:lineRule="auto"/>
              <w:ind w:left="5" w:firstLine="0"/>
              <w:jc w:val="left"/>
            </w:pPr>
            <w:r>
              <w:rPr>
                <w:b/>
              </w:rPr>
              <w:t xml:space="preserve"> </w:t>
            </w:r>
          </w:p>
          <w:p w:rsidR="0076001D" w:rsidRDefault="0034129A">
            <w:pPr>
              <w:spacing w:after="0" w:line="259" w:lineRule="auto"/>
              <w:ind w:left="5" w:firstLine="0"/>
              <w:jc w:val="left"/>
            </w:pPr>
            <w:r>
              <w:rPr>
                <w:b/>
                <w:sz w:val="27"/>
              </w:rPr>
              <w:t xml:space="preserve"> </w:t>
            </w:r>
          </w:p>
          <w:p w:rsidR="0076001D" w:rsidRDefault="0034129A">
            <w:pPr>
              <w:spacing w:after="0" w:line="259" w:lineRule="auto"/>
              <w:ind w:left="0" w:right="-9" w:firstLine="0"/>
              <w:jc w:val="right"/>
            </w:pPr>
            <w:r>
              <w:rPr>
                <w:sz w:val="20"/>
              </w:rPr>
              <w:t>2.</w:t>
            </w:r>
          </w:p>
        </w:tc>
        <w:tc>
          <w:tcPr>
            <w:tcW w:w="40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3" w:right="107" w:firstLine="0"/>
            </w:pPr>
            <w:r>
              <w:rPr>
                <w:sz w:val="20"/>
              </w:rPr>
              <w:t xml:space="preserve">Solicitar a los proveedores de los sistemas Humano y </w:t>
            </w:r>
            <w:proofErr w:type="spellStart"/>
            <w:r>
              <w:rPr>
                <w:sz w:val="20"/>
              </w:rPr>
              <w:t>Goobi</w:t>
            </w:r>
            <w:proofErr w:type="spellEnd"/>
            <w:r>
              <w:rPr>
                <w:sz w:val="20"/>
              </w:rPr>
              <w:t xml:space="preserve"> las licencias de uso a favor del IDEP y para el caso de IT GOP SAS solicitar el registro de derechos de autor actualizado. </w:t>
            </w:r>
          </w:p>
        </w:tc>
        <w:tc>
          <w:tcPr>
            <w:tcW w:w="567" w:type="dxa"/>
            <w:tcBorders>
              <w:top w:val="single" w:sz="4" w:space="0" w:color="000000"/>
              <w:left w:val="single" w:sz="4" w:space="0" w:color="000000"/>
              <w:bottom w:val="single" w:sz="4" w:space="0" w:color="000000"/>
              <w:right w:val="single" w:sz="4" w:space="0" w:color="000000"/>
            </w:tcBorders>
          </w:tcPr>
          <w:p w:rsidR="0076001D" w:rsidRDefault="0034129A">
            <w:pPr>
              <w:spacing w:after="5" w:line="259" w:lineRule="auto"/>
              <w:ind w:left="5" w:firstLine="0"/>
              <w:jc w:val="left"/>
            </w:pPr>
            <w:r>
              <w:rPr>
                <w:b/>
                <w:sz w:val="20"/>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6" w:firstLine="0"/>
              <w:jc w:val="left"/>
            </w:pPr>
            <w:r>
              <w:rPr>
                <w:rFonts w:ascii="Calibri" w:eastAsia="Calibri" w:hAnsi="Calibri" w:cs="Calibri"/>
                <w:noProof/>
                <w:lang w:val="es-ES" w:eastAsia="es-ES"/>
              </w:rPr>
              <mc:AlternateContent>
                <mc:Choice Requires="wpg">
                  <w:drawing>
                    <wp:inline distT="0" distB="0" distL="0" distR="0">
                      <wp:extent cx="304800" cy="209550"/>
                      <wp:effectExtent l="0" t="0" r="0" b="0"/>
                      <wp:docPr id="199948" name="Group 199948"/>
                      <wp:cNvGraphicFramePr/>
                      <a:graphic xmlns:a="http://schemas.openxmlformats.org/drawingml/2006/main">
                        <a:graphicData uri="http://schemas.microsoft.com/office/word/2010/wordprocessingGroup">
                          <wpg:wgp>
                            <wpg:cNvGrpSpPr/>
                            <wpg:grpSpPr>
                              <a:xfrm>
                                <a:off x="0" y="0"/>
                                <a:ext cx="304800" cy="209550"/>
                                <a:chOff x="0" y="0"/>
                                <a:chExt cx="304800" cy="209550"/>
                              </a:xfrm>
                            </wpg:grpSpPr>
                            <wps:wsp>
                              <wps:cNvPr id="19925" name="Shape 19925"/>
                              <wps:cNvSpPr/>
                              <wps:spPr>
                                <a:xfrm>
                                  <a:off x="0" y="0"/>
                                  <a:ext cx="304800" cy="209550"/>
                                </a:xfrm>
                                <a:custGeom>
                                  <a:avLst/>
                                  <a:gdLst/>
                                  <a:ahLst/>
                                  <a:cxnLst/>
                                  <a:rect l="0" t="0" r="0" b="0"/>
                                  <a:pathLst>
                                    <a:path w="304800" h="209550">
                                      <a:moveTo>
                                        <a:pt x="228600" y="0"/>
                                      </a:moveTo>
                                      <a:lnTo>
                                        <a:pt x="304800" y="104775"/>
                                      </a:lnTo>
                                      <a:lnTo>
                                        <a:pt x="228600" y="209550"/>
                                      </a:lnTo>
                                      <a:lnTo>
                                        <a:pt x="228600" y="156845"/>
                                      </a:lnTo>
                                      <a:lnTo>
                                        <a:pt x="0" y="156845"/>
                                      </a:lnTo>
                                      <a:lnTo>
                                        <a:pt x="0" y="52070"/>
                                      </a:lnTo>
                                      <a:lnTo>
                                        <a:pt x="228600" y="52070"/>
                                      </a:lnTo>
                                      <a:lnTo>
                                        <a:pt x="228600" y="0"/>
                                      </a:lnTo>
                                      <a:close/>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19926" name="Shape 19926"/>
                              <wps:cNvSpPr/>
                              <wps:spPr>
                                <a:xfrm>
                                  <a:off x="0" y="0"/>
                                  <a:ext cx="304800" cy="209550"/>
                                </a:xfrm>
                                <a:custGeom>
                                  <a:avLst/>
                                  <a:gdLst/>
                                  <a:ahLst/>
                                  <a:cxnLst/>
                                  <a:rect l="0" t="0" r="0" b="0"/>
                                  <a:pathLst>
                                    <a:path w="304800" h="209550">
                                      <a:moveTo>
                                        <a:pt x="228600" y="0"/>
                                      </a:moveTo>
                                      <a:lnTo>
                                        <a:pt x="228600" y="52070"/>
                                      </a:lnTo>
                                      <a:lnTo>
                                        <a:pt x="0" y="52070"/>
                                      </a:lnTo>
                                      <a:lnTo>
                                        <a:pt x="0" y="156845"/>
                                      </a:lnTo>
                                      <a:lnTo>
                                        <a:pt x="228600" y="156845"/>
                                      </a:lnTo>
                                      <a:lnTo>
                                        <a:pt x="228600" y="209550"/>
                                      </a:lnTo>
                                      <a:lnTo>
                                        <a:pt x="304800" y="104775"/>
                                      </a:lnTo>
                                      <a:lnTo>
                                        <a:pt x="2286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99948" style="width:24pt;height:16.5pt;mso-position-horizontal-relative:char;mso-position-vertical-relative:line" coordsize="3048,2095">
                      <v:shape id="Shape 19925" style="position:absolute;width:3048;height:2095;left:0;top:0;" coordsize="304800,209550" path="m228600,0l304800,104775l228600,209550l228600,156845l0,156845l0,52070l228600,52070l228600,0x">
                        <v:stroke weight="0pt" endcap="flat" joinstyle="miter" miterlimit="10" on="false" color="#000000" opacity="0"/>
                        <v:fill on="true" color="#ffd966"/>
                      </v:shape>
                      <v:shape id="Shape 19926" style="position:absolute;width:3048;height:2095;left:0;top:0;" coordsize="304800,209550" path="m228600,0l228600,52070l0,52070l0,156845l228600,156845l228600,209550l304800,104775l228600,0x">
                        <v:stroke weight="0.75pt" endcap="flat" joinstyle="round" on="true" color="#000000"/>
                        <v:fill on="false" color="#000000" opacity="0"/>
                      </v:shape>
                    </v:group>
                  </w:pict>
                </mc:Fallback>
              </mc:AlternateContent>
            </w:r>
          </w:p>
        </w:tc>
        <w:tc>
          <w:tcPr>
            <w:tcW w:w="4408" w:type="dxa"/>
            <w:tcBorders>
              <w:top w:val="single" w:sz="4" w:space="0" w:color="000000"/>
              <w:left w:val="single" w:sz="4" w:space="0" w:color="000000"/>
              <w:bottom w:val="single" w:sz="4" w:space="0" w:color="000000"/>
              <w:right w:val="single" w:sz="4" w:space="0" w:color="000000"/>
            </w:tcBorders>
          </w:tcPr>
          <w:p w:rsidR="0076001D" w:rsidRDefault="0034129A">
            <w:pPr>
              <w:spacing w:after="6" w:line="241" w:lineRule="auto"/>
              <w:ind w:left="113" w:firstLine="0"/>
              <w:jc w:val="left"/>
            </w:pPr>
            <w:r>
              <w:rPr>
                <w:sz w:val="20"/>
              </w:rPr>
              <w:t xml:space="preserve">El proceso de gestión TIC ha gestionado la actualización del registro de derechos de autor y de registro de distribución de GOOBI SAS. </w:t>
            </w:r>
          </w:p>
          <w:p w:rsidR="0076001D" w:rsidRDefault="0034129A">
            <w:pPr>
              <w:spacing w:after="0" w:line="259" w:lineRule="auto"/>
              <w:ind w:left="112" w:hanging="122"/>
              <w:jc w:val="left"/>
            </w:pPr>
            <w:r>
              <w:rPr>
                <w:sz w:val="20"/>
              </w:rPr>
              <w:t xml:space="preserve"> Está pendiente la actualización de licencias de GOOBI y de Humano, las cuales no fueron presentadas a la auditoría. </w:t>
            </w:r>
          </w:p>
        </w:tc>
      </w:tr>
    </w:tbl>
    <w:p w:rsidR="0076001D" w:rsidRDefault="0034129A">
      <w:pPr>
        <w:spacing w:after="122" w:line="262" w:lineRule="auto"/>
        <w:ind w:left="0" w:right="10053" w:firstLine="0"/>
      </w:pPr>
      <w:r>
        <w:rPr>
          <w:b/>
          <w:sz w:val="20"/>
        </w:rPr>
        <w:t xml:space="preserve"> </w:t>
      </w:r>
      <w:r>
        <w:rPr>
          <w:b/>
          <w:sz w:val="17"/>
        </w:rPr>
        <w:t xml:space="preserve"> </w:t>
      </w:r>
    </w:p>
    <w:p w:rsidR="0076001D" w:rsidRDefault="0034129A">
      <w:pPr>
        <w:spacing w:after="0" w:line="259" w:lineRule="auto"/>
        <w:ind w:left="10" w:right="5506" w:hanging="10"/>
        <w:jc w:val="right"/>
      </w:pPr>
      <w:r>
        <w:rPr>
          <w:b/>
        </w:rPr>
        <w:t xml:space="preserve">5.3.2 Nuevas Recomendaciones 2020 </w:t>
      </w:r>
    </w:p>
    <w:p w:rsidR="0076001D" w:rsidRDefault="0034129A">
      <w:pPr>
        <w:spacing w:after="60" w:line="259" w:lineRule="auto"/>
        <w:ind w:left="0" w:firstLine="0"/>
        <w:jc w:val="left"/>
      </w:pPr>
      <w:r>
        <w:rPr>
          <w:b/>
          <w:sz w:val="20"/>
        </w:rPr>
        <w:t xml:space="preserve"> </w:t>
      </w:r>
    </w:p>
    <w:p w:rsidR="0076001D" w:rsidRDefault="0034129A">
      <w:pPr>
        <w:spacing w:after="0" w:line="259" w:lineRule="auto"/>
        <w:ind w:left="0" w:firstLine="0"/>
        <w:jc w:val="left"/>
      </w:pPr>
      <w:r>
        <w:rPr>
          <w:b/>
          <w:sz w:val="27"/>
        </w:rPr>
        <w:t xml:space="preserve"> </w:t>
      </w:r>
    </w:p>
    <w:tbl>
      <w:tblPr>
        <w:tblStyle w:val="TableGrid"/>
        <w:tblW w:w="9605" w:type="dxa"/>
        <w:tblInd w:w="164" w:type="dxa"/>
        <w:tblCellMar>
          <w:top w:w="8" w:type="dxa"/>
          <w:left w:w="5" w:type="dxa"/>
          <w:right w:w="47" w:type="dxa"/>
        </w:tblCellMar>
        <w:tblLook w:val="04A0" w:firstRow="1" w:lastRow="0" w:firstColumn="1" w:lastColumn="0" w:noHBand="0" w:noVBand="1"/>
      </w:tblPr>
      <w:tblGrid>
        <w:gridCol w:w="574"/>
        <w:gridCol w:w="9031"/>
      </w:tblGrid>
      <w:tr w:rsidR="0076001D">
        <w:trPr>
          <w:trHeight w:val="257"/>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t xml:space="preserve">N°. </w:t>
            </w:r>
          </w:p>
        </w:tc>
        <w:tc>
          <w:tcPr>
            <w:tcW w:w="903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2" w:firstLine="0"/>
              <w:jc w:val="center"/>
            </w:pPr>
            <w:r>
              <w:rPr>
                <w:b/>
                <w:sz w:val="20"/>
              </w:rPr>
              <w:t xml:space="preserve">Recomendación 2020 </w:t>
            </w:r>
          </w:p>
        </w:tc>
      </w:tr>
      <w:tr w:rsidR="0076001D">
        <w:trPr>
          <w:trHeight w:val="474"/>
        </w:trPr>
        <w:tc>
          <w:tcPr>
            <w:tcW w:w="57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06" w:firstLine="0"/>
              <w:jc w:val="left"/>
            </w:pPr>
            <w:r>
              <w:rPr>
                <w:sz w:val="20"/>
              </w:rPr>
              <w:t xml:space="preserve">1. </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Adelantar el catálogo de sistemas de información, orientándose con la Guía G.SIS.03 Guía para la construcción del catálogo de Sistemas de Información. Versión 2019 de MINTIC. </w:t>
            </w:r>
          </w:p>
        </w:tc>
      </w:tr>
      <w:tr w:rsidR="0076001D">
        <w:trPr>
          <w:trHeight w:val="3920"/>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0" w:line="259" w:lineRule="auto"/>
              <w:ind w:left="0" w:firstLine="0"/>
              <w:jc w:val="left"/>
            </w:pPr>
            <w:r>
              <w:rPr>
                <w:b/>
              </w:rPr>
              <w:t xml:space="preserve"> </w:t>
            </w:r>
          </w:p>
          <w:p w:rsidR="0076001D" w:rsidRDefault="0034129A">
            <w:pPr>
              <w:spacing w:after="35" w:line="259" w:lineRule="auto"/>
              <w:ind w:left="0" w:firstLine="0"/>
              <w:jc w:val="left"/>
            </w:pPr>
            <w:r>
              <w:rPr>
                <w:b/>
              </w:rPr>
              <w:t xml:space="preserve"> </w:t>
            </w:r>
          </w:p>
          <w:p w:rsidR="0076001D" w:rsidRDefault="0034129A">
            <w:pPr>
              <w:spacing w:after="0" w:line="259" w:lineRule="auto"/>
              <w:ind w:left="0" w:firstLine="0"/>
              <w:jc w:val="left"/>
            </w:pPr>
            <w:r>
              <w:rPr>
                <w:b/>
                <w:sz w:val="27"/>
              </w:rPr>
              <w:t xml:space="preserve"> </w:t>
            </w:r>
          </w:p>
          <w:p w:rsidR="0076001D" w:rsidRDefault="0034129A">
            <w:pPr>
              <w:spacing w:after="0" w:line="259" w:lineRule="auto"/>
              <w:ind w:left="106" w:firstLine="0"/>
              <w:jc w:val="left"/>
            </w:pPr>
            <w:r>
              <w:rPr>
                <w:sz w:val="20"/>
              </w:rPr>
              <w:t xml:space="preserve">2. </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08" w:firstLine="0"/>
            </w:pPr>
            <w:r>
              <w:rPr>
                <w:sz w:val="20"/>
              </w:rPr>
              <w:t xml:space="preserve">Con respecto a la problemática del boletín de inventarios se recomienda adelantar las siguientes acciones: </w:t>
            </w:r>
          </w:p>
          <w:p w:rsidR="0076001D" w:rsidRDefault="0034129A">
            <w:pPr>
              <w:spacing w:after="0" w:line="259" w:lineRule="auto"/>
              <w:ind w:left="0" w:firstLine="0"/>
              <w:jc w:val="left"/>
            </w:pPr>
            <w:r>
              <w:rPr>
                <w:b/>
                <w:sz w:val="19"/>
              </w:rPr>
              <w:t xml:space="preserve"> </w:t>
            </w:r>
          </w:p>
          <w:p w:rsidR="0076001D" w:rsidRDefault="0034129A">
            <w:pPr>
              <w:numPr>
                <w:ilvl w:val="0"/>
                <w:numId w:val="49"/>
              </w:numPr>
              <w:spacing w:after="2" w:line="239" w:lineRule="auto"/>
              <w:ind w:hanging="360"/>
            </w:pPr>
            <w:r>
              <w:rPr>
                <w:sz w:val="20"/>
              </w:rPr>
              <w:t xml:space="preserve">Solicitar al proveedor de GOOBI evidencias de las presuntas notas contables con las que se ajustan saldos, y de ser cierto tomar medidas correctivas. </w:t>
            </w:r>
          </w:p>
          <w:p w:rsidR="0076001D" w:rsidRDefault="0034129A">
            <w:pPr>
              <w:numPr>
                <w:ilvl w:val="0"/>
                <w:numId w:val="49"/>
              </w:numPr>
              <w:spacing w:after="0" w:line="241" w:lineRule="auto"/>
              <w:ind w:hanging="360"/>
            </w:pPr>
            <w:r>
              <w:rPr>
                <w:sz w:val="20"/>
              </w:rPr>
              <w:t xml:space="preserve">Adelantar un plan de depuración de la data basado en un diagnóstico de casuística para el diseño de estrategia de corrección en tres frentes: </w:t>
            </w:r>
          </w:p>
          <w:p w:rsidR="0076001D" w:rsidRDefault="0034129A">
            <w:pPr>
              <w:numPr>
                <w:ilvl w:val="1"/>
                <w:numId w:val="49"/>
              </w:numPr>
              <w:spacing w:after="0" w:line="241" w:lineRule="auto"/>
              <w:ind w:hanging="362"/>
            </w:pPr>
            <w:r>
              <w:rPr>
                <w:sz w:val="20"/>
              </w:rPr>
              <w:t xml:space="preserve">Construcción de scripts de diagnóstico masivo sobre la base de datos que permitan clasificar cada caso donde los datos rompen la regla de negocio y/o condiciones de integridad referencial. </w:t>
            </w:r>
          </w:p>
          <w:p w:rsidR="0076001D" w:rsidRDefault="0034129A">
            <w:pPr>
              <w:numPr>
                <w:ilvl w:val="1"/>
                <w:numId w:val="49"/>
              </w:numPr>
              <w:spacing w:after="0" w:line="241" w:lineRule="auto"/>
              <w:ind w:hanging="362"/>
            </w:pPr>
            <w:r>
              <w:rPr>
                <w:sz w:val="20"/>
              </w:rPr>
              <w:t>Construcción de scripts de actualización masiva (</w:t>
            </w:r>
            <w:proofErr w:type="spellStart"/>
            <w:r>
              <w:rPr>
                <w:sz w:val="20"/>
              </w:rPr>
              <w:t>updates</w:t>
            </w:r>
            <w:proofErr w:type="spellEnd"/>
            <w:r>
              <w:rPr>
                <w:sz w:val="20"/>
              </w:rPr>
              <w:t xml:space="preserve">) que permitan ajustar casos, tal como reclasificar datos mal categorizados. </w:t>
            </w:r>
          </w:p>
          <w:p w:rsidR="0076001D" w:rsidRDefault="0034129A">
            <w:pPr>
              <w:numPr>
                <w:ilvl w:val="1"/>
                <w:numId w:val="49"/>
              </w:numPr>
              <w:spacing w:after="0" w:line="241" w:lineRule="auto"/>
              <w:ind w:hanging="362"/>
            </w:pPr>
            <w:r>
              <w:rPr>
                <w:sz w:val="20"/>
              </w:rPr>
              <w:t xml:space="preserve">Identificación de los casos que requieren ajuste manual y la asignación de recursos para esta labor </w:t>
            </w:r>
          </w:p>
          <w:p w:rsidR="0076001D" w:rsidRDefault="0034129A">
            <w:pPr>
              <w:numPr>
                <w:ilvl w:val="1"/>
                <w:numId w:val="49"/>
              </w:numPr>
              <w:spacing w:after="0" w:line="259" w:lineRule="auto"/>
              <w:ind w:hanging="362"/>
            </w:pPr>
            <w:r>
              <w:rPr>
                <w:sz w:val="20"/>
              </w:rPr>
              <w:t xml:space="preserve">Establecer un plan de depuración manual de casos. </w:t>
            </w:r>
          </w:p>
          <w:p w:rsidR="0076001D" w:rsidRDefault="0034129A">
            <w:pPr>
              <w:spacing w:after="0" w:line="259" w:lineRule="auto"/>
              <w:ind w:left="108" w:firstLine="0"/>
            </w:pPr>
            <w:r>
              <w:rPr>
                <w:sz w:val="20"/>
              </w:rPr>
              <w:t xml:space="preserve">Centralizar todos los incidentes por el proceso de Gestión TIC y una vez ejecutado del plan de depuración de datos, impedir el acceso del proveedor a los datos de producción. </w:t>
            </w:r>
          </w:p>
        </w:tc>
      </w:tr>
      <w:tr w:rsidR="0076001D">
        <w:trPr>
          <w:trHeight w:val="929"/>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9"/>
              </w:rPr>
              <w:t xml:space="preserve"> </w:t>
            </w:r>
          </w:p>
          <w:p w:rsidR="0076001D" w:rsidRDefault="0034129A">
            <w:pPr>
              <w:spacing w:after="0" w:line="259" w:lineRule="auto"/>
              <w:ind w:left="106" w:firstLine="0"/>
              <w:jc w:val="left"/>
            </w:pPr>
            <w:r>
              <w:rPr>
                <w:sz w:val="20"/>
              </w:rPr>
              <w:t xml:space="preserve">3. </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La solución de depuración de datos se recomienda mientras permanece en operación el sistema </w:t>
            </w:r>
          </w:p>
          <w:p w:rsidR="0076001D" w:rsidRDefault="0034129A">
            <w:pPr>
              <w:spacing w:after="0" w:line="259" w:lineRule="auto"/>
              <w:ind w:left="108" w:firstLine="0"/>
              <w:jc w:val="left"/>
            </w:pPr>
            <w:r>
              <w:rPr>
                <w:sz w:val="20"/>
              </w:rPr>
              <w:t xml:space="preserve">GOBBI, pero se reitera la recomendación de su remplazo por otro ERP preferiblemente en modalidad </w:t>
            </w:r>
          </w:p>
          <w:p w:rsidR="0076001D" w:rsidRDefault="0034129A">
            <w:pPr>
              <w:spacing w:after="0" w:line="259" w:lineRule="auto"/>
              <w:ind w:left="108" w:firstLine="0"/>
              <w:jc w:val="left"/>
            </w:pPr>
            <w:r>
              <w:rPr>
                <w:sz w:val="20"/>
              </w:rPr>
              <w:t xml:space="preserve">SAAS. </w:t>
            </w:r>
          </w:p>
          <w:p w:rsidR="0076001D" w:rsidRDefault="0034129A">
            <w:pPr>
              <w:spacing w:after="0" w:line="259" w:lineRule="auto"/>
              <w:ind w:left="108" w:firstLine="0"/>
              <w:jc w:val="left"/>
            </w:pPr>
            <w:r>
              <w:rPr>
                <w:sz w:val="20"/>
              </w:rPr>
              <w:lastRenderedPageBreak/>
              <w:t xml:space="preserve">Aprovechar los documentos del proceso adelantados por la contratista a cago de su supervisión, </w:t>
            </w:r>
          </w:p>
        </w:tc>
      </w:tr>
    </w:tbl>
    <w:p w:rsidR="0076001D" w:rsidRDefault="0034129A">
      <w:pPr>
        <w:spacing w:after="0" w:line="259" w:lineRule="auto"/>
        <w:ind w:left="0" w:firstLine="0"/>
        <w:jc w:val="left"/>
      </w:pPr>
      <w:r>
        <w:rPr>
          <w:b/>
        </w:rPr>
        <w:lastRenderedPageBreak/>
        <w:t xml:space="preserve"> </w:t>
      </w:r>
    </w:p>
    <w:tbl>
      <w:tblPr>
        <w:tblStyle w:val="TableGrid"/>
        <w:tblW w:w="9605" w:type="dxa"/>
        <w:tblInd w:w="164" w:type="dxa"/>
        <w:tblCellMar>
          <w:top w:w="8" w:type="dxa"/>
          <w:left w:w="5" w:type="dxa"/>
          <w:right w:w="89" w:type="dxa"/>
        </w:tblCellMar>
        <w:tblLook w:val="04A0" w:firstRow="1" w:lastRow="0" w:firstColumn="1" w:lastColumn="0" w:noHBand="0" w:noVBand="1"/>
      </w:tblPr>
      <w:tblGrid>
        <w:gridCol w:w="574"/>
        <w:gridCol w:w="9031"/>
      </w:tblGrid>
      <w:tr w:rsidR="0076001D">
        <w:trPr>
          <w:trHeight w:val="257"/>
        </w:trPr>
        <w:tc>
          <w:tcPr>
            <w:tcW w:w="57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44" w:firstLine="0"/>
              <w:jc w:val="left"/>
            </w:pPr>
            <w:r>
              <w:rPr>
                <w:b/>
                <w:sz w:val="20"/>
              </w:rPr>
              <w:t xml:space="preserve">N°. </w:t>
            </w:r>
          </w:p>
        </w:tc>
        <w:tc>
          <w:tcPr>
            <w:tcW w:w="903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84" w:firstLine="0"/>
              <w:jc w:val="center"/>
            </w:pPr>
            <w:r>
              <w:rPr>
                <w:b/>
                <w:sz w:val="20"/>
              </w:rPr>
              <w:t xml:space="preserve">Recomendación 2020 </w:t>
            </w:r>
          </w:p>
        </w:tc>
      </w:tr>
      <w:tr w:rsidR="0076001D">
        <w:trPr>
          <w:trHeight w:val="474"/>
        </w:trPr>
        <w:tc>
          <w:tcPr>
            <w:tcW w:w="574"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106" w:firstLine="0"/>
              <w:jc w:val="left"/>
            </w:pPr>
            <w:r>
              <w:rPr>
                <w:sz w:val="20"/>
              </w:rPr>
              <w:t xml:space="preserve">4. </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Fortalecer el conocimiento del IDEP en el modelo de datos de GOOBI, como contingencia en caso de que el proveedor actual no apoye el proceso de migración a un nuevo ERP. </w:t>
            </w:r>
          </w:p>
        </w:tc>
      </w:tr>
      <w:tr w:rsidR="0076001D">
        <w:trPr>
          <w:trHeight w:val="931"/>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9"/>
              </w:rPr>
              <w:t xml:space="preserve"> </w:t>
            </w:r>
          </w:p>
          <w:p w:rsidR="0076001D" w:rsidRDefault="0034129A">
            <w:pPr>
              <w:spacing w:after="0" w:line="259" w:lineRule="auto"/>
              <w:ind w:left="106" w:firstLine="0"/>
              <w:jc w:val="left"/>
            </w:pPr>
            <w:r>
              <w:rPr>
                <w:sz w:val="20"/>
              </w:rPr>
              <w:t xml:space="preserve">5. </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Incluir en la renovación del contrato SAAS de Humano y en cualquier otra adquisición de sistema de información en modalidad SAAS clausulas específicas sobre la protección y propiedad de los datos alojados. Ver PROTECCIÓN EN LOS SERVICIOS COMPUTACIÓN EN LA NUBE (CLOUD COMPUTING) de la SIC. </w:t>
            </w:r>
          </w:p>
        </w:tc>
      </w:tr>
      <w:tr w:rsidR="0076001D">
        <w:trPr>
          <w:trHeight w:val="929"/>
        </w:trPr>
        <w:tc>
          <w:tcPr>
            <w:tcW w:w="57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0" w:firstLine="0"/>
              <w:jc w:val="left"/>
            </w:pPr>
            <w:r>
              <w:rPr>
                <w:b/>
                <w:sz w:val="29"/>
              </w:rPr>
              <w:t xml:space="preserve"> </w:t>
            </w:r>
          </w:p>
          <w:p w:rsidR="0076001D" w:rsidRDefault="0034129A">
            <w:pPr>
              <w:spacing w:after="0" w:line="259" w:lineRule="auto"/>
              <w:ind w:left="106" w:firstLine="0"/>
              <w:jc w:val="left"/>
            </w:pPr>
            <w:r>
              <w:rPr>
                <w:sz w:val="20"/>
              </w:rPr>
              <w:t xml:space="preserve">6. </w:t>
            </w:r>
          </w:p>
        </w:tc>
        <w:tc>
          <w:tcPr>
            <w:tcW w:w="903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08" w:firstLine="0"/>
              <w:jc w:val="left"/>
            </w:pPr>
            <w:r>
              <w:rPr>
                <w:sz w:val="20"/>
              </w:rPr>
              <w:t xml:space="preserve">Continuar con el proceso de construcción de una metodología de Desarrollo y Adquisición de software aplicativo, pero atendiendo las observaciones de la auditoría y en especial garantizando su articulación con el Dominio de sistemas de Información el Marco de Referencia de Arquitectura Empresarial y el Dominio 14 del MSPI ISO 27002:2013. </w:t>
            </w:r>
          </w:p>
        </w:tc>
      </w:tr>
    </w:tbl>
    <w:p w:rsidR="0076001D" w:rsidRDefault="0034129A">
      <w:pPr>
        <w:spacing w:after="0" w:line="259" w:lineRule="auto"/>
        <w:ind w:left="0" w:firstLine="0"/>
        <w:jc w:val="left"/>
      </w:pPr>
      <w:r>
        <w:rPr>
          <w:b/>
          <w:sz w:val="20"/>
        </w:rPr>
        <w:t xml:space="preserve"> </w:t>
      </w:r>
    </w:p>
    <w:p w:rsidR="0076001D" w:rsidRDefault="0034129A">
      <w:pPr>
        <w:spacing w:after="117" w:line="259" w:lineRule="auto"/>
        <w:ind w:left="0" w:firstLine="0"/>
        <w:jc w:val="left"/>
      </w:pPr>
      <w:r>
        <w:rPr>
          <w:b/>
          <w:sz w:val="18"/>
        </w:rPr>
        <w:t xml:space="preserve"> </w:t>
      </w:r>
    </w:p>
    <w:p w:rsidR="0076001D" w:rsidRDefault="0034129A">
      <w:pPr>
        <w:pStyle w:val="Ttulo2"/>
        <w:tabs>
          <w:tab w:val="center" w:pos="696"/>
          <w:tab w:val="center" w:pos="2893"/>
        </w:tabs>
        <w:ind w:left="0" w:firstLine="0"/>
      </w:pPr>
      <w:r>
        <w:rPr>
          <w:rFonts w:ascii="Calibri" w:eastAsia="Calibri" w:hAnsi="Calibri" w:cs="Calibri"/>
          <w:b w:val="0"/>
        </w:rPr>
        <w:tab/>
      </w:r>
      <w:r>
        <w:t xml:space="preserve">5.4 </w:t>
      </w:r>
      <w:r>
        <w:tab/>
        <w:t xml:space="preserve">Administración de Recursos de TI </w:t>
      </w:r>
    </w:p>
    <w:p w:rsidR="0076001D" w:rsidRDefault="0034129A">
      <w:pPr>
        <w:spacing w:after="2" w:line="259" w:lineRule="auto"/>
        <w:ind w:left="0" w:firstLine="0"/>
        <w:jc w:val="left"/>
      </w:pPr>
      <w:r>
        <w:rPr>
          <w:b/>
          <w:sz w:val="20"/>
        </w:rPr>
        <w:t xml:space="preserve"> </w:t>
      </w:r>
    </w:p>
    <w:p w:rsidR="0076001D" w:rsidRDefault="0034129A">
      <w:pPr>
        <w:pStyle w:val="Ttulo3"/>
        <w:ind w:left="538"/>
      </w:pPr>
      <w:r>
        <w:t xml:space="preserve">5.4.1 Inventarios de activos y Mantenimiento de Hardware y Software </w:t>
      </w:r>
    </w:p>
    <w:p w:rsidR="0076001D" w:rsidRDefault="0034129A">
      <w:pPr>
        <w:spacing w:after="57" w:line="259" w:lineRule="auto"/>
        <w:ind w:left="0" w:firstLine="0"/>
        <w:jc w:val="left"/>
      </w:pPr>
      <w:r>
        <w:rPr>
          <w:b/>
          <w:sz w:val="20"/>
        </w:rPr>
        <w:t xml:space="preserve"> </w:t>
      </w:r>
    </w:p>
    <w:p w:rsidR="0076001D" w:rsidRDefault="0034129A">
      <w:pPr>
        <w:spacing w:after="0" w:line="259" w:lineRule="auto"/>
        <w:ind w:left="0" w:firstLine="0"/>
        <w:jc w:val="left"/>
      </w:pPr>
      <w:r>
        <w:rPr>
          <w:b/>
          <w:sz w:val="27"/>
        </w:rPr>
        <w:t xml:space="preserve"> </w:t>
      </w:r>
    </w:p>
    <w:p w:rsidR="0076001D" w:rsidRDefault="0034129A">
      <w:pPr>
        <w:spacing w:after="107"/>
        <w:ind w:left="914" w:right="433"/>
      </w:pPr>
      <w:r>
        <w:rPr>
          <w:noProof/>
          <w:lang w:val="es-ES" w:eastAsia="es-ES"/>
        </w:rPr>
        <w:drawing>
          <wp:inline distT="0" distB="0" distL="0" distR="0">
            <wp:extent cx="177800" cy="177800"/>
            <wp:effectExtent l="0" t="0" r="0" b="0"/>
            <wp:docPr id="20096" name="Picture 20096"/>
            <wp:cNvGraphicFramePr/>
            <a:graphic xmlns:a="http://schemas.openxmlformats.org/drawingml/2006/main">
              <a:graphicData uri="http://schemas.openxmlformats.org/drawingml/2006/picture">
                <pic:pic xmlns:pic="http://schemas.openxmlformats.org/drawingml/2006/picture">
                  <pic:nvPicPr>
                    <pic:cNvPr id="20096" name="Picture 20096"/>
                    <pic:cNvPicPr/>
                  </pic:nvPicPr>
                  <pic:blipFill>
                    <a:blip r:embed="rId119"/>
                    <a:stretch>
                      <a:fillRect/>
                    </a:stretch>
                  </pic:blipFill>
                  <pic:spPr>
                    <a:xfrm>
                      <a:off x="0" y="0"/>
                      <a:ext cx="177800" cy="177800"/>
                    </a:xfrm>
                    <a:prstGeom prst="rect">
                      <a:avLst/>
                    </a:prstGeom>
                  </pic:spPr>
                </pic:pic>
              </a:graphicData>
            </a:graphic>
          </wp:inline>
        </w:drawing>
      </w:r>
      <w:r>
        <w:rPr>
          <w:rFonts w:ascii="Times New Roman" w:eastAsia="Times New Roman" w:hAnsi="Times New Roman" w:cs="Times New Roman"/>
          <w:sz w:val="20"/>
        </w:rPr>
        <w:t xml:space="preserve">  </w:t>
      </w:r>
      <w:r>
        <w:t xml:space="preserve">Se </w:t>
      </w:r>
      <w:proofErr w:type="spellStart"/>
      <w:r>
        <w:t>adelanto</w:t>
      </w:r>
      <w:proofErr w:type="spellEnd"/>
      <w:r>
        <w:t xml:space="preserve"> la adecuada actualización del formato FT-GT-12-19 Inventario activos de información Tipo Software, Hardware y Servicios IDEP, en el cual se adicionaron las columnas correspondientes a la clasificación de los activos teniendo en cuenta su confidencialidad disponibilidad, integralidad y criticidad, además se relacionan sus responsables, custodios, fecha de adquisición y caducidad, y placa </w:t>
      </w:r>
      <w:proofErr w:type="spellStart"/>
      <w:r>
        <w:t>Goobi</w:t>
      </w:r>
      <w:proofErr w:type="spellEnd"/>
      <w:r>
        <w:t xml:space="preserve">. </w:t>
      </w:r>
    </w:p>
    <w:p w:rsidR="0076001D" w:rsidRDefault="0034129A">
      <w:pPr>
        <w:spacing w:after="0" w:line="259" w:lineRule="auto"/>
        <w:ind w:left="0" w:right="9208" w:firstLine="0"/>
        <w:jc w:val="left"/>
      </w:pPr>
      <w:r>
        <w:rPr>
          <w:sz w:val="31"/>
        </w:rPr>
        <w:t xml:space="preserve"> </w:t>
      </w:r>
    </w:p>
    <w:p w:rsidR="0076001D" w:rsidRDefault="0034129A">
      <w:pPr>
        <w:ind w:left="973" w:right="436" w:hanging="428"/>
      </w:pPr>
      <w:r>
        <w:rPr>
          <w:noProof/>
          <w:lang w:val="es-ES" w:eastAsia="es-ES"/>
        </w:rPr>
        <w:drawing>
          <wp:inline distT="0" distB="0" distL="0" distR="0">
            <wp:extent cx="227546" cy="136525"/>
            <wp:effectExtent l="0" t="0" r="0" b="0"/>
            <wp:docPr id="20100" name="Picture 20100"/>
            <wp:cNvGraphicFramePr/>
            <a:graphic xmlns:a="http://schemas.openxmlformats.org/drawingml/2006/main">
              <a:graphicData uri="http://schemas.openxmlformats.org/drawingml/2006/picture">
                <pic:pic xmlns:pic="http://schemas.openxmlformats.org/drawingml/2006/picture">
                  <pic:nvPicPr>
                    <pic:cNvPr id="20100" name="Picture 20100"/>
                    <pic:cNvPicPr/>
                  </pic:nvPicPr>
                  <pic:blipFill>
                    <a:blip r:embed="rId8"/>
                    <a:stretch>
                      <a:fillRect/>
                    </a:stretch>
                  </pic:blipFill>
                  <pic:spPr>
                    <a:xfrm>
                      <a:off x="0" y="0"/>
                      <a:ext cx="227546" cy="136525"/>
                    </a:xfrm>
                    <a:prstGeom prst="rect">
                      <a:avLst/>
                    </a:prstGeom>
                  </pic:spPr>
                </pic:pic>
              </a:graphicData>
            </a:graphic>
          </wp:inline>
        </w:drawing>
      </w:r>
      <w:r>
        <w:t xml:space="preserve"> Si bien el formato FT-GT-12-19 es considera el inventario oficial, todavía existen varios documentos con el inventario (Base de Datos de Activos de Información dic 2019.pdf, Activos IDEP consolidado Versión Ajustada, </w:t>
      </w:r>
      <w:proofErr w:type="spellStart"/>
      <w:r>
        <w:t>xls</w:t>
      </w:r>
      <w:proofErr w:type="spellEnd"/>
      <w:r>
        <w:t xml:space="preserve">), en ninguno se tiene la totalidad del software instalado en los equipos de usuario de acuerdo al cruce de estos documentos con el Informe sobre las aplicaciones instaladas generado el 8-09-2020 10-50-53 a.m. desde la consola del antivirus, como se aprecia en la siguiente imagen, en la que se sobresaltan algunos que no se incluyen en los documentos mencionados: </w:t>
      </w:r>
    </w:p>
    <w:p w:rsidR="0076001D" w:rsidRDefault="0034129A">
      <w:pPr>
        <w:spacing w:after="0" w:line="259" w:lineRule="auto"/>
        <w:ind w:left="0" w:firstLine="0"/>
        <w:jc w:val="left"/>
      </w:pPr>
      <w:r>
        <w:rPr>
          <w:sz w:val="13"/>
        </w:rPr>
        <w:t xml:space="preserve"> </w:t>
      </w:r>
    </w:p>
    <w:p w:rsidR="0076001D" w:rsidRDefault="0034129A">
      <w:pPr>
        <w:spacing w:after="0" w:line="259" w:lineRule="auto"/>
        <w:ind w:left="969" w:firstLine="0"/>
        <w:jc w:val="left"/>
      </w:pPr>
      <w:r>
        <w:rPr>
          <w:noProof/>
          <w:lang w:val="es-ES" w:eastAsia="es-ES"/>
        </w:rPr>
        <w:lastRenderedPageBreak/>
        <w:drawing>
          <wp:inline distT="0" distB="0" distL="0" distR="0">
            <wp:extent cx="5724906" cy="1818005"/>
            <wp:effectExtent l="0" t="0" r="0" b="0"/>
            <wp:docPr id="20098" name="Picture 20098"/>
            <wp:cNvGraphicFramePr/>
            <a:graphic xmlns:a="http://schemas.openxmlformats.org/drawingml/2006/main">
              <a:graphicData uri="http://schemas.openxmlformats.org/drawingml/2006/picture">
                <pic:pic xmlns:pic="http://schemas.openxmlformats.org/drawingml/2006/picture">
                  <pic:nvPicPr>
                    <pic:cNvPr id="20098" name="Picture 20098"/>
                    <pic:cNvPicPr/>
                  </pic:nvPicPr>
                  <pic:blipFill>
                    <a:blip r:embed="rId192"/>
                    <a:stretch>
                      <a:fillRect/>
                    </a:stretch>
                  </pic:blipFill>
                  <pic:spPr>
                    <a:xfrm>
                      <a:off x="0" y="0"/>
                      <a:ext cx="5724906" cy="1818005"/>
                    </a:xfrm>
                    <a:prstGeom prst="rect">
                      <a:avLst/>
                    </a:prstGeom>
                  </pic:spPr>
                </pic:pic>
              </a:graphicData>
            </a:graphic>
          </wp:inline>
        </w:drawing>
      </w:r>
    </w:p>
    <w:p w:rsidR="0076001D" w:rsidRDefault="0034129A">
      <w:pPr>
        <w:spacing w:after="0" w:line="259" w:lineRule="auto"/>
        <w:ind w:left="0" w:firstLine="0"/>
        <w:jc w:val="left"/>
      </w:pPr>
      <w:r>
        <w:rPr>
          <w:sz w:val="27"/>
        </w:rPr>
        <w:t xml:space="preserve"> </w:t>
      </w:r>
    </w:p>
    <w:p w:rsidR="0076001D" w:rsidRDefault="0034129A">
      <w:pPr>
        <w:spacing w:after="106"/>
        <w:ind w:left="604" w:right="429" w:hanging="59"/>
      </w:pPr>
      <w:r>
        <w:rPr>
          <w:noProof/>
          <w:lang w:val="es-ES" w:eastAsia="es-ES"/>
        </w:rPr>
        <w:drawing>
          <wp:inline distT="0" distB="0" distL="0" distR="0">
            <wp:extent cx="227546" cy="136525"/>
            <wp:effectExtent l="0" t="0" r="0" b="0"/>
            <wp:docPr id="20139" name="Picture 20139"/>
            <wp:cNvGraphicFramePr/>
            <a:graphic xmlns:a="http://schemas.openxmlformats.org/drawingml/2006/main">
              <a:graphicData uri="http://schemas.openxmlformats.org/drawingml/2006/picture">
                <pic:pic xmlns:pic="http://schemas.openxmlformats.org/drawingml/2006/picture">
                  <pic:nvPicPr>
                    <pic:cNvPr id="20139" name="Picture 20139"/>
                    <pic:cNvPicPr/>
                  </pic:nvPicPr>
                  <pic:blipFill>
                    <a:blip r:embed="rId8"/>
                    <a:stretch>
                      <a:fillRect/>
                    </a:stretch>
                  </pic:blipFill>
                  <pic:spPr>
                    <a:xfrm>
                      <a:off x="0" y="0"/>
                      <a:ext cx="227546" cy="136525"/>
                    </a:xfrm>
                    <a:prstGeom prst="rect">
                      <a:avLst/>
                    </a:prstGeom>
                  </pic:spPr>
                </pic:pic>
              </a:graphicData>
            </a:graphic>
          </wp:inline>
        </w:drawing>
      </w:r>
      <w:r>
        <w:t xml:space="preserve"> No se cuenta con una herramienta automatizada para la gestión de los inventarios de hardware y software, por lo cual el levantamiento de los mismos es dispendiosos y con alta probabilidad de errores, adicionalmente este inventario no </w:t>
      </w:r>
      <w:proofErr w:type="spellStart"/>
      <w:r>
        <w:t>esta</w:t>
      </w:r>
      <w:proofErr w:type="spellEnd"/>
      <w:r>
        <w:t xml:space="preserve"> sincronizado con el software de mesa de ayuda (</w:t>
      </w:r>
      <w:proofErr w:type="spellStart"/>
      <w:r>
        <w:t>HelpDesk</w:t>
      </w:r>
      <w:proofErr w:type="spellEnd"/>
      <w:r>
        <w:t xml:space="preserve">), que permita tener un control de los incidentes presentados en los equipos o a causa del software instalado en el mismo y generar indicadores de capacidad y rendimiento de los mismos y tener una hoja de vida digital del hardware de la Entidad. </w:t>
      </w:r>
    </w:p>
    <w:p w:rsidR="0076001D" w:rsidRDefault="0034129A">
      <w:pPr>
        <w:spacing w:after="0" w:line="259" w:lineRule="auto"/>
        <w:ind w:left="0" w:right="9208" w:firstLine="0"/>
        <w:jc w:val="left"/>
      </w:pPr>
      <w:r>
        <w:rPr>
          <w:sz w:val="30"/>
        </w:rPr>
        <w:t xml:space="preserve"> </w:t>
      </w:r>
    </w:p>
    <w:p w:rsidR="0076001D" w:rsidRDefault="0034129A">
      <w:pPr>
        <w:spacing w:after="108"/>
        <w:ind w:left="604" w:right="437" w:hanging="59"/>
      </w:pPr>
      <w:r>
        <w:rPr>
          <w:noProof/>
          <w:lang w:val="es-ES" w:eastAsia="es-ES"/>
        </w:rPr>
        <w:drawing>
          <wp:inline distT="0" distB="0" distL="0" distR="0">
            <wp:extent cx="227546" cy="136525"/>
            <wp:effectExtent l="0" t="0" r="0" b="0"/>
            <wp:docPr id="20141" name="Picture 20141"/>
            <wp:cNvGraphicFramePr/>
            <a:graphic xmlns:a="http://schemas.openxmlformats.org/drawingml/2006/main">
              <a:graphicData uri="http://schemas.openxmlformats.org/drawingml/2006/picture">
                <pic:pic xmlns:pic="http://schemas.openxmlformats.org/drawingml/2006/picture">
                  <pic:nvPicPr>
                    <pic:cNvPr id="20141" name="Picture 20141"/>
                    <pic:cNvPicPr/>
                  </pic:nvPicPr>
                  <pic:blipFill>
                    <a:blip r:embed="rId8"/>
                    <a:stretch>
                      <a:fillRect/>
                    </a:stretch>
                  </pic:blipFill>
                  <pic:spPr>
                    <a:xfrm>
                      <a:off x="0" y="0"/>
                      <a:ext cx="227546" cy="136525"/>
                    </a:xfrm>
                    <a:prstGeom prst="rect">
                      <a:avLst/>
                    </a:prstGeom>
                  </pic:spPr>
                </pic:pic>
              </a:graphicData>
            </a:graphic>
          </wp:inline>
        </w:drawing>
      </w:r>
      <w:r>
        <w:t xml:space="preserve"> No se cuenta con un seguimiento automatizado del licenciamiento en cada uno de los equipos de usuario, por lo tanto, no es posible identificar completamente los seriales y licencias instaladas, aumentando el riesgo de instalaciones o uso de software no autorizado, en las herramientas automatizadas de inventario de software existen funcionalidades para llevar en tiempo real el control de licenciamiento sobre todos los </w:t>
      </w:r>
      <w:proofErr w:type="spellStart"/>
      <w:r>
        <w:t>PC’s</w:t>
      </w:r>
      <w:proofErr w:type="spellEnd"/>
      <w:r>
        <w:t xml:space="preserve"> de la entidad. </w:t>
      </w:r>
    </w:p>
    <w:p w:rsidR="0076001D" w:rsidRDefault="0034129A">
      <w:pPr>
        <w:spacing w:after="0" w:line="259" w:lineRule="auto"/>
        <w:ind w:left="0" w:right="9208" w:firstLine="0"/>
        <w:jc w:val="left"/>
      </w:pPr>
      <w:r>
        <w:rPr>
          <w:sz w:val="30"/>
        </w:rPr>
        <w:t xml:space="preserve"> </w:t>
      </w:r>
    </w:p>
    <w:p w:rsidR="0076001D" w:rsidRDefault="0034129A">
      <w:pPr>
        <w:ind w:left="604" w:right="433" w:hanging="59"/>
      </w:pPr>
      <w:r>
        <w:rPr>
          <w:noProof/>
          <w:lang w:val="es-ES" w:eastAsia="es-ES"/>
        </w:rPr>
        <w:drawing>
          <wp:inline distT="0" distB="0" distL="0" distR="0">
            <wp:extent cx="227546" cy="136525"/>
            <wp:effectExtent l="0" t="0" r="0" b="0"/>
            <wp:docPr id="20143" name="Picture 20143"/>
            <wp:cNvGraphicFramePr/>
            <a:graphic xmlns:a="http://schemas.openxmlformats.org/drawingml/2006/main">
              <a:graphicData uri="http://schemas.openxmlformats.org/drawingml/2006/picture">
                <pic:pic xmlns:pic="http://schemas.openxmlformats.org/drawingml/2006/picture">
                  <pic:nvPicPr>
                    <pic:cNvPr id="20143" name="Picture 20143"/>
                    <pic:cNvPicPr/>
                  </pic:nvPicPr>
                  <pic:blipFill>
                    <a:blip r:embed="rId8"/>
                    <a:stretch>
                      <a:fillRect/>
                    </a:stretch>
                  </pic:blipFill>
                  <pic:spPr>
                    <a:xfrm>
                      <a:off x="0" y="0"/>
                      <a:ext cx="227546" cy="136525"/>
                    </a:xfrm>
                    <a:prstGeom prst="rect">
                      <a:avLst/>
                    </a:prstGeom>
                  </pic:spPr>
                </pic:pic>
              </a:graphicData>
            </a:graphic>
          </wp:inline>
        </w:drawing>
      </w:r>
      <w:r>
        <w:t xml:space="preserve"> Al momento de entrega de activos se </w:t>
      </w:r>
      <w:proofErr w:type="spellStart"/>
      <w:r>
        <w:t>esta</w:t>
      </w:r>
      <w:proofErr w:type="spellEnd"/>
      <w:r>
        <w:t xml:space="preserve"> diligenciando el formato FT-GT-12-20 Compromiso de cumplimiento de las políticas TIC del Idep, en el cual se hace una descripción de las herramientas TIC entregadas a funcionarios o contratistas, pero no se detallan los accesos y perfiles de usuario en los sistemas de información asignados al usuario que firma el formato. </w:t>
      </w:r>
    </w:p>
    <w:p w:rsidR="0076001D" w:rsidRDefault="0034129A">
      <w:pPr>
        <w:spacing w:after="0" w:line="259" w:lineRule="auto"/>
        <w:ind w:left="0" w:firstLine="0"/>
        <w:jc w:val="left"/>
      </w:pPr>
      <w:r>
        <w:rPr>
          <w:sz w:val="13"/>
        </w:rPr>
        <w:t xml:space="preserve"> </w:t>
      </w:r>
    </w:p>
    <w:p w:rsidR="0076001D" w:rsidRDefault="0034129A">
      <w:pPr>
        <w:spacing w:after="0" w:line="259" w:lineRule="auto"/>
        <w:ind w:left="2169" w:firstLine="0"/>
        <w:jc w:val="left"/>
      </w:pPr>
      <w:r>
        <w:rPr>
          <w:noProof/>
          <w:lang w:val="es-ES" w:eastAsia="es-ES"/>
        </w:rPr>
        <w:lastRenderedPageBreak/>
        <w:drawing>
          <wp:inline distT="0" distB="0" distL="0" distR="0">
            <wp:extent cx="3729355" cy="3852799"/>
            <wp:effectExtent l="0" t="0" r="0" b="0"/>
            <wp:docPr id="20180" name="Picture 20180"/>
            <wp:cNvGraphicFramePr/>
            <a:graphic xmlns:a="http://schemas.openxmlformats.org/drawingml/2006/main">
              <a:graphicData uri="http://schemas.openxmlformats.org/drawingml/2006/picture">
                <pic:pic xmlns:pic="http://schemas.openxmlformats.org/drawingml/2006/picture">
                  <pic:nvPicPr>
                    <pic:cNvPr id="20180" name="Picture 20180"/>
                    <pic:cNvPicPr/>
                  </pic:nvPicPr>
                  <pic:blipFill>
                    <a:blip r:embed="rId193"/>
                    <a:stretch>
                      <a:fillRect/>
                    </a:stretch>
                  </pic:blipFill>
                  <pic:spPr>
                    <a:xfrm>
                      <a:off x="0" y="0"/>
                      <a:ext cx="3729355" cy="3852799"/>
                    </a:xfrm>
                    <a:prstGeom prst="rect">
                      <a:avLst/>
                    </a:prstGeom>
                  </pic:spPr>
                </pic:pic>
              </a:graphicData>
            </a:graphic>
          </wp:inline>
        </w:drawing>
      </w:r>
    </w:p>
    <w:p w:rsidR="0076001D" w:rsidRDefault="0034129A">
      <w:pPr>
        <w:spacing w:after="0" w:line="259" w:lineRule="auto"/>
        <w:ind w:left="0" w:firstLine="0"/>
        <w:jc w:val="left"/>
      </w:pPr>
      <w:r>
        <w:rPr>
          <w:sz w:val="20"/>
        </w:rPr>
        <w:t xml:space="preserve"> </w:t>
      </w:r>
    </w:p>
    <w:p w:rsidR="0076001D" w:rsidRDefault="0034129A">
      <w:pPr>
        <w:ind w:left="914" w:right="436"/>
      </w:pPr>
      <w:r>
        <w:rPr>
          <w:noProof/>
          <w:lang w:val="es-ES" w:eastAsia="es-ES"/>
        </w:rPr>
        <w:drawing>
          <wp:inline distT="0" distB="0" distL="0" distR="0">
            <wp:extent cx="177165" cy="177800"/>
            <wp:effectExtent l="0" t="0" r="0" b="0"/>
            <wp:docPr id="20378" name="Picture 20378"/>
            <wp:cNvGraphicFramePr/>
            <a:graphic xmlns:a="http://schemas.openxmlformats.org/drawingml/2006/main">
              <a:graphicData uri="http://schemas.openxmlformats.org/drawingml/2006/picture">
                <pic:pic xmlns:pic="http://schemas.openxmlformats.org/drawingml/2006/picture">
                  <pic:nvPicPr>
                    <pic:cNvPr id="20378" name="Picture 20378"/>
                    <pic:cNvPicPr/>
                  </pic:nvPicPr>
                  <pic:blipFill>
                    <a:blip r:embed="rId119"/>
                    <a:stretch>
                      <a:fillRect/>
                    </a:stretch>
                  </pic:blipFill>
                  <pic:spPr>
                    <a:xfrm>
                      <a:off x="0" y="0"/>
                      <a:ext cx="177165" cy="177800"/>
                    </a:xfrm>
                    <a:prstGeom prst="rect">
                      <a:avLst/>
                    </a:prstGeom>
                  </pic:spPr>
                </pic:pic>
              </a:graphicData>
            </a:graphic>
          </wp:inline>
        </w:drawing>
      </w:r>
      <w:r>
        <w:rPr>
          <w:rFonts w:ascii="Times New Roman" w:eastAsia="Times New Roman" w:hAnsi="Times New Roman" w:cs="Times New Roman"/>
          <w:sz w:val="20"/>
        </w:rPr>
        <w:t xml:space="preserve">  </w:t>
      </w:r>
      <w:r>
        <w:t xml:space="preserve">En cuanto al mantenimiento se cuenta con un libro de Excel: “Plan de mantenimiento y monitoreo.xls” </w:t>
      </w:r>
      <w:proofErr w:type="spellStart"/>
      <w:r>
        <w:t>ene</w:t>
      </w:r>
      <w:proofErr w:type="spellEnd"/>
      <w:r>
        <w:t xml:space="preserve"> el cual se tiene programado el mantenimiento a los activos de la entidad y una columna de seguimiento en la cual se registran las observaciones a las acciones de mantenimiento y se relacionan con el proveedor responsable de las mismas. En la siguiente imagen se muestran los registros correspondientes a la vigencia de 2020: </w:t>
      </w:r>
    </w:p>
    <w:p w:rsidR="0076001D" w:rsidRDefault="0034129A">
      <w:pPr>
        <w:spacing w:after="0" w:line="259" w:lineRule="auto"/>
        <w:ind w:left="0" w:firstLine="0"/>
        <w:jc w:val="left"/>
      </w:pPr>
      <w:r>
        <w:rPr>
          <w:sz w:val="14"/>
        </w:rPr>
        <w:t xml:space="preserve"> </w:t>
      </w:r>
    </w:p>
    <w:p w:rsidR="0076001D" w:rsidRDefault="0034129A">
      <w:pPr>
        <w:spacing w:after="8" w:line="259" w:lineRule="auto"/>
        <w:ind w:left="542" w:firstLine="0"/>
        <w:jc w:val="left"/>
      </w:pPr>
      <w:r>
        <w:rPr>
          <w:noProof/>
          <w:lang w:val="es-ES" w:eastAsia="es-ES"/>
        </w:rPr>
        <w:drawing>
          <wp:inline distT="0" distB="0" distL="0" distR="0">
            <wp:extent cx="5799836" cy="1487805"/>
            <wp:effectExtent l="0" t="0" r="0" b="0"/>
            <wp:docPr id="20384" name="Picture 20384"/>
            <wp:cNvGraphicFramePr/>
            <a:graphic xmlns:a="http://schemas.openxmlformats.org/drawingml/2006/main">
              <a:graphicData uri="http://schemas.openxmlformats.org/drawingml/2006/picture">
                <pic:pic xmlns:pic="http://schemas.openxmlformats.org/drawingml/2006/picture">
                  <pic:nvPicPr>
                    <pic:cNvPr id="20384" name="Picture 20384"/>
                    <pic:cNvPicPr/>
                  </pic:nvPicPr>
                  <pic:blipFill>
                    <a:blip r:embed="rId194"/>
                    <a:stretch>
                      <a:fillRect/>
                    </a:stretch>
                  </pic:blipFill>
                  <pic:spPr>
                    <a:xfrm>
                      <a:off x="0" y="0"/>
                      <a:ext cx="5799836" cy="1487805"/>
                    </a:xfrm>
                    <a:prstGeom prst="rect">
                      <a:avLst/>
                    </a:prstGeom>
                  </pic:spPr>
                </pic:pic>
              </a:graphicData>
            </a:graphic>
          </wp:inline>
        </w:drawing>
      </w:r>
    </w:p>
    <w:p w:rsidR="0076001D" w:rsidRDefault="0034129A">
      <w:pPr>
        <w:spacing w:after="45" w:line="259" w:lineRule="auto"/>
        <w:ind w:left="0" w:firstLine="0"/>
        <w:jc w:val="left"/>
      </w:pPr>
      <w:r>
        <w:rPr>
          <w:sz w:val="20"/>
        </w:rPr>
        <w:t xml:space="preserve"> </w:t>
      </w:r>
    </w:p>
    <w:p w:rsidR="0076001D" w:rsidRDefault="0034129A">
      <w:pPr>
        <w:spacing w:after="0" w:line="259" w:lineRule="auto"/>
        <w:ind w:left="0" w:right="9210" w:firstLine="0"/>
        <w:jc w:val="left"/>
      </w:pPr>
      <w:r>
        <w:rPr>
          <w:sz w:val="26"/>
        </w:rPr>
        <w:t xml:space="preserve"> </w:t>
      </w:r>
    </w:p>
    <w:p w:rsidR="0076001D" w:rsidRDefault="0034129A">
      <w:pPr>
        <w:spacing w:after="215"/>
        <w:ind w:left="604" w:right="437" w:hanging="59"/>
      </w:pPr>
      <w:r>
        <w:rPr>
          <w:noProof/>
          <w:lang w:val="es-ES" w:eastAsia="es-ES"/>
        </w:rPr>
        <w:drawing>
          <wp:inline distT="0" distB="0" distL="0" distR="0">
            <wp:extent cx="226695" cy="228511"/>
            <wp:effectExtent l="0" t="0" r="0" b="0"/>
            <wp:docPr id="20215" name="Picture 20215"/>
            <wp:cNvGraphicFramePr/>
            <a:graphic xmlns:a="http://schemas.openxmlformats.org/drawingml/2006/main">
              <a:graphicData uri="http://schemas.openxmlformats.org/drawingml/2006/picture">
                <pic:pic xmlns:pic="http://schemas.openxmlformats.org/drawingml/2006/picture">
                  <pic:nvPicPr>
                    <pic:cNvPr id="20215" name="Picture 20215"/>
                    <pic:cNvPicPr/>
                  </pic:nvPicPr>
                  <pic:blipFill>
                    <a:blip r:embed="rId60"/>
                    <a:stretch>
                      <a:fillRect/>
                    </a:stretch>
                  </pic:blipFill>
                  <pic:spPr>
                    <a:xfrm>
                      <a:off x="0" y="0"/>
                      <a:ext cx="226695" cy="228511"/>
                    </a:xfrm>
                    <a:prstGeom prst="rect">
                      <a:avLst/>
                    </a:prstGeom>
                  </pic:spPr>
                </pic:pic>
              </a:graphicData>
            </a:graphic>
          </wp:inline>
        </w:drawing>
      </w:r>
      <w:r>
        <w:t xml:space="preserve"> No se registra el plan de mantenimiento, ni el resultado de las acciones del mismo en la herramienta de mesa de ayuda, por ende, no es posible tener informes automatizados de estas acciones, ni relacionarlas con los soportes realizados a los equipos o sistemas instalados en ellos. </w:t>
      </w:r>
    </w:p>
    <w:p w:rsidR="0076001D" w:rsidRDefault="0034129A">
      <w:pPr>
        <w:spacing w:after="37"/>
        <w:ind w:left="604" w:right="434" w:hanging="59"/>
      </w:pPr>
      <w:r>
        <w:rPr>
          <w:noProof/>
          <w:lang w:val="es-ES" w:eastAsia="es-ES"/>
        </w:rPr>
        <w:lastRenderedPageBreak/>
        <w:drawing>
          <wp:inline distT="0" distB="0" distL="0" distR="0">
            <wp:extent cx="226695" cy="228511"/>
            <wp:effectExtent l="0" t="0" r="0" b="0"/>
            <wp:docPr id="20380" name="Picture 20380"/>
            <wp:cNvGraphicFramePr/>
            <a:graphic xmlns:a="http://schemas.openxmlformats.org/drawingml/2006/main">
              <a:graphicData uri="http://schemas.openxmlformats.org/drawingml/2006/picture">
                <pic:pic xmlns:pic="http://schemas.openxmlformats.org/drawingml/2006/picture">
                  <pic:nvPicPr>
                    <pic:cNvPr id="20380" name="Picture 20380"/>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No se han realizado actualizaciones al el </w:t>
      </w:r>
      <w:r>
        <w:rPr>
          <w:i/>
        </w:rPr>
        <w:t xml:space="preserve">PRO-GT-12-05 Mantenimiento de Infraestructura Tecnológica </w:t>
      </w:r>
      <w:r>
        <w:t xml:space="preserve">para incluir en el </w:t>
      </w:r>
      <w:r>
        <w:rPr>
          <w:i/>
        </w:rPr>
        <w:t>Plan de Mantenimiento a la infraestructura y Servicios de Tecnología</w:t>
      </w:r>
      <w:r>
        <w:t xml:space="preserve">, el uso del formato de mantenimiento preventivo y correctivo: </w:t>
      </w:r>
      <w:r>
        <w:rPr>
          <w:i/>
        </w:rPr>
        <w:t xml:space="preserve">Formato Mantenimiento Preventivo a los Activos de Información IDEP, </w:t>
      </w:r>
      <w:r>
        <w:t xml:space="preserve">que debe diligenciar el proveedor del servicio y que permite conocer el estado del equipo al momento del servicio y el software instalado. </w:t>
      </w:r>
    </w:p>
    <w:p w:rsidR="0076001D" w:rsidRDefault="0034129A">
      <w:pPr>
        <w:spacing w:after="0" w:line="259" w:lineRule="auto"/>
        <w:ind w:left="0" w:firstLine="0"/>
        <w:jc w:val="left"/>
      </w:pPr>
      <w:r>
        <w:rPr>
          <w:sz w:val="24"/>
        </w:rPr>
        <w:t xml:space="preserve"> </w:t>
      </w:r>
    </w:p>
    <w:p w:rsidR="0076001D" w:rsidRDefault="0034129A">
      <w:pPr>
        <w:spacing w:after="139" w:line="259" w:lineRule="auto"/>
        <w:ind w:left="0" w:firstLine="0"/>
        <w:jc w:val="left"/>
      </w:pPr>
      <w:r>
        <w:rPr>
          <w:sz w:val="24"/>
        </w:rPr>
        <w:t xml:space="preserve"> </w:t>
      </w:r>
    </w:p>
    <w:p w:rsidR="0076001D" w:rsidRDefault="0034129A">
      <w:pPr>
        <w:pStyle w:val="Ttulo4"/>
        <w:ind w:left="538"/>
      </w:pPr>
      <w:r>
        <w:t xml:space="preserve">5.4.1.1 Seguimiento a Recomendaciones 2019 </w:t>
      </w:r>
    </w:p>
    <w:p w:rsidR="0076001D" w:rsidRDefault="0034129A">
      <w:pPr>
        <w:spacing w:after="57" w:line="259" w:lineRule="auto"/>
        <w:ind w:left="0" w:firstLine="0"/>
        <w:jc w:val="left"/>
      </w:pPr>
      <w:r>
        <w:rPr>
          <w:b/>
          <w:sz w:val="20"/>
        </w:rPr>
        <w:t xml:space="preserve"> </w:t>
      </w:r>
    </w:p>
    <w:p w:rsidR="0076001D" w:rsidRDefault="0034129A">
      <w:pPr>
        <w:spacing w:after="0" w:line="259" w:lineRule="auto"/>
        <w:ind w:left="0" w:firstLine="0"/>
        <w:jc w:val="left"/>
      </w:pPr>
      <w:r>
        <w:rPr>
          <w:b/>
          <w:sz w:val="28"/>
        </w:rPr>
        <w:t xml:space="preserve"> </w:t>
      </w:r>
    </w:p>
    <w:tbl>
      <w:tblPr>
        <w:tblStyle w:val="TableGrid"/>
        <w:tblW w:w="9617" w:type="dxa"/>
        <w:tblInd w:w="164" w:type="dxa"/>
        <w:tblCellMar>
          <w:top w:w="6" w:type="dxa"/>
          <w:right w:w="15" w:type="dxa"/>
        </w:tblCellMar>
        <w:tblLook w:val="04A0" w:firstRow="1" w:lastRow="0" w:firstColumn="1" w:lastColumn="0" w:noHBand="0" w:noVBand="1"/>
      </w:tblPr>
      <w:tblGrid>
        <w:gridCol w:w="654"/>
        <w:gridCol w:w="4362"/>
        <w:gridCol w:w="671"/>
        <w:gridCol w:w="3930"/>
      </w:tblGrid>
      <w:tr w:rsidR="0076001D">
        <w:trPr>
          <w:trHeight w:val="257"/>
        </w:trPr>
        <w:tc>
          <w:tcPr>
            <w:tcW w:w="653"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20" w:firstLine="0"/>
              <w:jc w:val="center"/>
            </w:pPr>
            <w:r>
              <w:rPr>
                <w:b/>
                <w:sz w:val="20"/>
              </w:rPr>
              <w:t xml:space="preserve">N°. </w:t>
            </w:r>
          </w:p>
        </w:tc>
        <w:tc>
          <w:tcPr>
            <w:tcW w:w="436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 w:firstLine="0"/>
              <w:jc w:val="center"/>
            </w:pPr>
            <w:r>
              <w:rPr>
                <w:b/>
                <w:sz w:val="20"/>
              </w:rPr>
              <w:t xml:space="preserve">OBSERVACIÓN </w:t>
            </w:r>
          </w:p>
        </w:tc>
        <w:tc>
          <w:tcPr>
            <w:tcW w:w="67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6" w:firstLine="0"/>
              <w:jc w:val="left"/>
            </w:pPr>
            <w:r>
              <w:rPr>
                <w:rFonts w:ascii="Times New Roman" w:eastAsia="Times New Roman" w:hAnsi="Times New Roman" w:cs="Times New Roman"/>
                <w:sz w:val="18"/>
              </w:rPr>
              <w:t xml:space="preserve"> </w:t>
            </w:r>
          </w:p>
        </w:tc>
        <w:tc>
          <w:tcPr>
            <w:tcW w:w="393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21" w:firstLine="0"/>
              <w:jc w:val="center"/>
            </w:pPr>
            <w:r>
              <w:rPr>
                <w:b/>
                <w:sz w:val="20"/>
              </w:rPr>
              <w:t xml:space="preserve">SEGUIMIENTO </w:t>
            </w:r>
          </w:p>
        </w:tc>
      </w:tr>
      <w:tr w:rsidR="0076001D">
        <w:trPr>
          <w:trHeight w:val="2312"/>
        </w:trPr>
        <w:tc>
          <w:tcPr>
            <w:tcW w:w="65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46" w:lineRule="auto"/>
              <w:ind w:left="5" w:right="569" w:firstLine="0"/>
              <w:jc w:val="right"/>
            </w:pPr>
            <w:r>
              <w:rPr>
                <w:b/>
              </w:rPr>
              <w:t xml:space="preserve"> </w:t>
            </w:r>
            <w:r>
              <w:rPr>
                <w:b/>
                <w:sz w:val="23"/>
              </w:rPr>
              <w:t xml:space="preserve"> </w:t>
            </w:r>
          </w:p>
          <w:p w:rsidR="0076001D" w:rsidRDefault="0034129A">
            <w:pPr>
              <w:spacing w:after="0" w:line="259" w:lineRule="auto"/>
              <w:ind w:left="0" w:firstLine="0"/>
              <w:jc w:val="right"/>
            </w:pPr>
            <w:r>
              <w:rPr>
                <w:sz w:val="20"/>
              </w:rPr>
              <w:t>1.</w:t>
            </w:r>
          </w:p>
        </w:tc>
        <w:tc>
          <w:tcPr>
            <w:tcW w:w="436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10" w:right="92" w:firstLine="0"/>
            </w:pPr>
            <w:r>
              <w:rPr>
                <w:sz w:val="20"/>
              </w:rPr>
              <w:t xml:space="preserve">Implementar una herramienta gratuita y de código abierto que permita hacer escaneo de hardware y software con el fin de mantener el control de los inventarios de manera centralizada y automatizada. Esta alternativa </w:t>
            </w:r>
          </w:p>
          <w:p w:rsidR="0076001D" w:rsidRDefault="0034129A">
            <w:pPr>
              <w:spacing w:after="0" w:line="259" w:lineRule="auto"/>
              <w:ind w:left="-14" w:firstLine="0"/>
              <w:jc w:val="left"/>
            </w:pPr>
            <w:r>
              <w:rPr>
                <w:sz w:val="20"/>
              </w:rPr>
              <w:t xml:space="preserve"> </w:t>
            </w:r>
          </w:p>
          <w:p w:rsidR="0076001D" w:rsidRDefault="0034129A">
            <w:pPr>
              <w:spacing w:after="0" w:line="259" w:lineRule="auto"/>
              <w:ind w:left="110" w:right="93" w:firstLine="0"/>
            </w:pPr>
            <w:r>
              <w:rPr>
                <w:sz w:val="20"/>
              </w:rPr>
              <w:t xml:space="preserve">disminuye carga operativa de mantener el control manual, facilita el chequeo de instalaciones ilegales de los equipos de red y permite    llevar    control    de    los    usuarios responsables  de  los  equipos  para  verificar </w:t>
            </w:r>
          </w:p>
        </w:tc>
        <w:tc>
          <w:tcPr>
            <w:tcW w:w="6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 w:firstLine="0"/>
              <w:jc w:val="left"/>
            </w:pPr>
            <w:r>
              <w:rPr>
                <w:b/>
                <w:sz w:val="20"/>
              </w:rPr>
              <w:t xml:space="preserve"> </w:t>
            </w:r>
          </w:p>
          <w:p w:rsidR="0076001D" w:rsidRDefault="0034129A">
            <w:pPr>
              <w:spacing w:after="0" w:line="259" w:lineRule="auto"/>
              <w:ind w:left="142" w:firstLine="0"/>
              <w:jc w:val="left"/>
            </w:pPr>
            <w:r>
              <w:rPr>
                <w:noProof/>
                <w:lang w:val="es-ES" w:eastAsia="es-ES"/>
              </w:rPr>
              <w:drawing>
                <wp:inline distT="0" distB="0" distL="0" distR="0">
                  <wp:extent cx="248920" cy="248831"/>
                  <wp:effectExtent l="0" t="0" r="0" b="0"/>
                  <wp:docPr id="20382" name="Picture 20382"/>
                  <wp:cNvGraphicFramePr/>
                  <a:graphic xmlns:a="http://schemas.openxmlformats.org/drawingml/2006/main">
                    <a:graphicData uri="http://schemas.openxmlformats.org/drawingml/2006/picture">
                      <pic:pic xmlns:pic="http://schemas.openxmlformats.org/drawingml/2006/picture">
                        <pic:nvPicPr>
                          <pic:cNvPr id="20382" name="Picture 20382"/>
                          <pic:cNvPicPr/>
                        </pic:nvPicPr>
                        <pic:blipFill>
                          <a:blip r:embed="rId188"/>
                          <a:stretch>
                            <a:fillRect/>
                          </a:stretch>
                        </pic:blipFill>
                        <pic:spPr>
                          <a:xfrm>
                            <a:off x="0" y="0"/>
                            <a:ext cx="248920" cy="248831"/>
                          </a:xfrm>
                          <a:prstGeom prst="rect">
                            <a:avLst/>
                          </a:prstGeom>
                        </pic:spPr>
                      </pic:pic>
                    </a:graphicData>
                  </a:graphic>
                </wp:inline>
              </w:drawing>
            </w:r>
          </w:p>
        </w:tc>
        <w:tc>
          <w:tcPr>
            <w:tcW w:w="393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3" w:right="85" w:firstLine="0"/>
            </w:pPr>
            <w:r>
              <w:rPr>
                <w:sz w:val="20"/>
              </w:rPr>
              <w:t xml:space="preserve">Aun no se cuenta con una herramienta que permita tener los inventarios de hardware y software automatizados, que permita cumplir con la recomendación dada. Se recomienda el uso del GLPI con la agente fusión </w:t>
            </w:r>
            <w:proofErr w:type="spellStart"/>
            <w:r>
              <w:rPr>
                <w:sz w:val="20"/>
              </w:rPr>
              <w:t>Inventory</w:t>
            </w:r>
            <w:proofErr w:type="spellEnd"/>
            <w:r>
              <w:rPr>
                <w:sz w:val="20"/>
              </w:rPr>
              <w:t xml:space="preserve"> de uso gratuito y de amplio uso en entidades del Distrito </w:t>
            </w:r>
          </w:p>
        </w:tc>
      </w:tr>
    </w:tbl>
    <w:p w:rsidR="0076001D" w:rsidRDefault="0034129A">
      <w:pPr>
        <w:spacing w:after="0" w:line="259" w:lineRule="auto"/>
        <w:ind w:left="0" w:firstLine="0"/>
        <w:jc w:val="left"/>
      </w:pPr>
      <w:r>
        <w:rPr>
          <w:b/>
        </w:rPr>
        <w:t xml:space="preserve"> </w:t>
      </w:r>
    </w:p>
    <w:tbl>
      <w:tblPr>
        <w:tblStyle w:val="TableGrid"/>
        <w:tblW w:w="9617" w:type="dxa"/>
        <w:tblInd w:w="164" w:type="dxa"/>
        <w:tblCellMar>
          <w:top w:w="6" w:type="dxa"/>
          <w:right w:w="2" w:type="dxa"/>
        </w:tblCellMar>
        <w:tblLook w:val="04A0" w:firstRow="1" w:lastRow="0" w:firstColumn="1" w:lastColumn="0" w:noHBand="0" w:noVBand="1"/>
      </w:tblPr>
      <w:tblGrid>
        <w:gridCol w:w="654"/>
        <w:gridCol w:w="4362"/>
        <w:gridCol w:w="671"/>
        <w:gridCol w:w="3930"/>
      </w:tblGrid>
      <w:tr w:rsidR="0076001D">
        <w:trPr>
          <w:trHeight w:val="257"/>
        </w:trPr>
        <w:tc>
          <w:tcPr>
            <w:tcW w:w="653"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8" w:firstLine="0"/>
              <w:jc w:val="center"/>
            </w:pPr>
            <w:r>
              <w:rPr>
                <w:b/>
                <w:sz w:val="20"/>
              </w:rPr>
              <w:t xml:space="preserve">N°. </w:t>
            </w:r>
          </w:p>
        </w:tc>
        <w:tc>
          <w:tcPr>
            <w:tcW w:w="436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0" w:firstLine="0"/>
              <w:jc w:val="center"/>
            </w:pPr>
            <w:r>
              <w:rPr>
                <w:b/>
                <w:sz w:val="20"/>
              </w:rPr>
              <w:t xml:space="preserve">OBSERVACIÓN </w:t>
            </w:r>
          </w:p>
        </w:tc>
        <w:tc>
          <w:tcPr>
            <w:tcW w:w="67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6" w:firstLine="0"/>
              <w:jc w:val="left"/>
            </w:pPr>
            <w:r>
              <w:rPr>
                <w:rFonts w:ascii="Times New Roman" w:eastAsia="Times New Roman" w:hAnsi="Times New Roman" w:cs="Times New Roman"/>
                <w:sz w:val="18"/>
              </w:rPr>
              <w:t xml:space="preserve"> </w:t>
            </w:r>
          </w:p>
        </w:tc>
        <w:tc>
          <w:tcPr>
            <w:tcW w:w="3930"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8" w:firstLine="0"/>
              <w:jc w:val="center"/>
            </w:pPr>
            <w:r>
              <w:rPr>
                <w:b/>
                <w:sz w:val="20"/>
              </w:rPr>
              <w:t xml:space="preserve">SEGUIMIENTO </w:t>
            </w:r>
          </w:p>
        </w:tc>
      </w:tr>
      <w:tr w:rsidR="0076001D">
        <w:trPr>
          <w:trHeight w:val="932"/>
        </w:trPr>
        <w:tc>
          <w:tcPr>
            <w:tcW w:w="65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436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10" w:firstLine="0"/>
              <w:jc w:val="left"/>
            </w:pPr>
            <w:proofErr w:type="gramStart"/>
            <w:r>
              <w:rPr>
                <w:sz w:val="20"/>
              </w:rPr>
              <w:t>autenticaciones</w:t>
            </w:r>
            <w:proofErr w:type="gramEnd"/>
            <w:r>
              <w:rPr>
                <w:sz w:val="20"/>
              </w:rPr>
              <w:t xml:space="preserve"> de usuario en equipos que no le han sido asignados. </w:t>
            </w:r>
          </w:p>
          <w:p w:rsidR="0076001D" w:rsidRDefault="0034129A">
            <w:pPr>
              <w:spacing w:after="0" w:line="259" w:lineRule="auto"/>
              <w:ind w:left="110" w:firstLine="0"/>
              <w:jc w:val="left"/>
            </w:pPr>
            <w:r>
              <w:rPr>
                <w:sz w:val="20"/>
              </w:rPr>
              <w:t xml:space="preserve">De ser implementada la herramienta mantener la trazabilidad de las placas de activos fijos </w:t>
            </w:r>
          </w:p>
        </w:tc>
        <w:tc>
          <w:tcPr>
            <w:tcW w:w="6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 w:firstLine="0"/>
              <w:jc w:val="left"/>
            </w:pPr>
            <w:r>
              <w:rPr>
                <w:rFonts w:ascii="Times New Roman" w:eastAsia="Times New Roman" w:hAnsi="Times New Roman" w:cs="Times New Roman"/>
                <w:sz w:val="18"/>
              </w:rPr>
              <w:t xml:space="preserve"> </w:t>
            </w:r>
          </w:p>
        </w:tc>
        <w:tc>
          <w:tcPr>
            <w:tcW w:w="393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r>
      <w:tr w:rsidR="0076001D">
        <w:trPr>
          <w:trHeight w:val="1162"/>
        </w:trPr>
        <w:tc>
          <w:tcPr>
            <w:tcW w:w="65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rPr>
              <w:t xml:space="preserve"> </w:t>
            </w:r>
          </w:p>
          <w:p w:rsidR="0076001D" w:rsidRDefault="0034129A">
            <w:pPr>
              <w:spacing w:after="12" w:line="259" w:lineRule="auto"/>
              <w:ind w:left="5" w:firstLine="0"/>
              <w:jc w:val="left"/>
            </w:pPr>
            <w:r>
              <w:rPr>
                <w:b/>
                <w:sz w:val="17"/>
              </w:rPr>
              <w:t xml:space="preserve"> </w:t>
            </w:r>
          </w:p>
          <w:p w:rsidR="0076001D" w:rsidRDefault="0034129A">
            <w:pPr>
              <w:spacing w:after="0" w:line="259" w:lineRule="auto"/>
              <w:ind w:left="0" w:right="13" w:firstLine="0"/>
              <w:jc w:val="right"/>
            </w:pPr>
            <w:r>
              <w:rPr>
                <w:sz w:val="20"/>
              </w:rPr>
              <w:t>2.</w:t>
            </w:r>
          </w:p>
        </w:tc>
        <w:tc>
          <w:tcPr>
            <w:tcW w:w="436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0" w:firstLine="0"/>
              <w:jc w:val="left"/>
            </w:pPr>
            <w:r>
              <w:rPr>
                <w:sz w:val="20"/>
              </w:rPr>
              <w:t xml:space="preserve">Como parte de la implementación del dominio </w:t>
            </w:r>
          </w:p>
          <w:p w:rsidR="0076001D" w:rsidRDefault="0034129A">
            <w:pPr>
              <w:spacing w:after="0" w:line="259" w:lineRule="auto"/>
              <w:ind w:left="-14" w:firstLine="125"/>
            </w:pPr>
            <w:r>
              <w:rPr>
                <w:sz w:val="20"/>
              </w:rPr>
              <w:t xml:space="preserve">13 Gestión de comunicaciones, adelantar un  formato de HV de servidores. </w:t>
            </w:r>
          </w:p>
        </w:tc>
        <w:tc>
          <w:tcPr>
            <w:tcW w:w="6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 w:firstLine="0"/>
              <w:jc w:val="left"/>
            </w:pPr>
            <w:r>
              <w:rPr>
                <w:b/>
                <w:sz w:val="19"/>
              </w:rPr>
              <w:t xml:space="preserve"> </w:t>
            </w:r>
          </w:p>
          <w:p w:rsidR="0076001D" w:rsidRDefault="0034129A">
            <w:pPr>
              <w:spacing w:after="0" w:line="259" w:lineRule="auto"/>
              <w:ind w:left="0" w:right="79" w:firstLine="0"/>
              <w:jc w:val="right"/>
            </w:pPr>
            <w:r>
              <w:rPr>
                <w:noProof/>
                <w:lang w:val="es-ES" w:eastAsia="es-ES"/>
              </w:rPr>
              <w:drawing>
                <wp:inline distT="0" distB="0" distL="0" distR="0">
                  <wp:extent cx="248920" cy="248831"/>
                  <wp:effectExtent l="0" t="0" r="0" b="0"/>
                  <wp:docPr id="20690" name="Picture 20690"/>
                  <wp:cNvGraphicFramePr/>
                  <a:graphic xmlns:a="http://schemas.openxmlformats.org/drawingml/2006/main">
                    <a:graphicData uri="http://schemas.openxmlformats.org/drawingml/2006/picture">
                      <pic:pic xmlns:pic="http://schemas.openxmlformats.org/drawingml/2006/picture">
                        <pic:nvPicPr>
                          <pic:cNvPr id="20690" name="Picture 20690"/>
                          <pic:cNvPicPr/>
                        </pic:nvPicPr>
                        <pic:blipFill>
                          <a:blip r:embed="rId188"/>
                          <a:stretch>
                            <a:fillRect/>
                          </a:stretch>
                        </pic:blipFill>
                        <pic:spPr>
                          <a:xfrm>
                            <a:off x="0" y="0"/>
                            <a:ext cx="248920" cy="248831"/>
                          </a:xfrm>
                          <a:prstGeom prst="rect">
                            <a:avLst/>
                          </a:prstGeom>
                        </pic:spPr>
                      </pic:pic>
                    </a:graphicData>
                  </a:graphic>
                </wp:inline>
              </w:drawing>
            </w:r>
            <w:r>
              <w:rPr>
                <w:sz w:val="20"/>
              </w:rPr>
              <w:t xml:space="preserve"> </w:t>
            </w:r>
          </w:p>
        </w:tc>
        <w:tc>
          <w:tcPr>
            <w:tcW w:w="393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13" w:right="101" w:firstLine="0"/>
            </w:pPr>
            <w:r>
              <w:rPr>
                <w:sz w:val="20"/>
              </w:rPr>
              <w:t xml:space="preserve">Aun no se cuenta con hojas de vida actualizadas de los servidores con todas las características técnicas necesarias para su adecuada identificación, </w:t>
            </w:r>
          </w:p>
          <w:p w:rsidR="0076001D" w:rsidRDefault="0034129A">
            <w:pPr>
              <w:spacing w:after="0" w:line="259" w:lineRule="auto"/>
              <w:ind w:left="113" w:firstLine="0"/>
              <w:jc w:val="left"/>
            </w:pPr>
            <w:r>
              <w:rPr>
                <w:sz w:val="20"/>
              </w:rPr>
              <w:t xml:space="preserve">funciones y características </w:t>
            </w:r>
          </w:p>
        </w:tc>
      </w:tr>
      <w:tr w:rsidR="0076001D">
        <w:trPr>
          <w:trHeight w:val="3920"/>
        </w:trPr>
        <w:tc>
          <w:tcPr>
            <w:tcW w:w="65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rPr>
              <w:lastRenderedPageBreak/>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33" w:line="259" w:lineRule="auto"/>
              <w:ind w:left="5" w:firstLine="0"/>
              <w:jc w:val="left"/>
            </w:pPr>
            <w:r>
              <w:rPr>
                <w:b/>
              </w:rPr>
              <w:t xml:space="preserve"> </w:t>
            </w:r>
          </w:p>
          <w:p w:rsidR="0076001D" w:rsidRDefault="0034129A">
            <w:pPr>
              <w:spacing w:after="0" w:line="259" w:lineRule="auto"/>
              <w:ind w:left="5" w:firstLine="0"/>
              <w:jc w:val="left"/>
            </w:pPr>
            <w:r>
              <w:rPr>
                <w:b/>
                <w:sz w:val="27"/>
              </w:rPr>
              <w:t xml:space="preserve"> </w:t>
            </w:r>
          </w:p>
          <w:p w:rsidR="0076001D" w:rsidRDefault="0034129A">
            <w:pPr>
              <w:spacing w:after="0" w:line="259" w:lineRule="auto"/>
              <w:ind w:left="0" w:right="13" w:firstLine="0"/>
              <w:jc w:val="right"/>
            </w:pPr>
            <w:r>
              <w:rPr>
                <w:sz w:val="20"/>
              </w:rPr>
              <w:t>3.</w:t>
            </w:r>
          </w:p>
        </w:tc>
        <w:tc>
          <w:tcPr>
            <w:tcW w:w="4362" w:type="dxa"/>
            <w:tcBorders>
              <w:top w:val="single" w:sz="4" w:space="0" w:color="000000"/>
              <w:left w:val="single" w:sz="4" w:space="0" w:color="000000"/>
              <w:bottom w:val="single" w:sz="4" w:space="0" w:color="000000"/>
              <w:right w:val="single" w:sz="4" w:space="0" w:color="000000"/>
            </w:tcBorders>
          </w:tcPr>
          <w:p w:rsidR="0076001D" w:rsidRDefault="0034129A">
            <w:pPr>
              <w:spacing w:after="1" w:line="241" w:lineRule="auto"/>
              <w:ind w:left="110" w:right="105" w:firstLine="0"/>
            </w:pPr>
            <w:r>
              <w:rPr>
                <w:sz w:val="20"/>
              </w:rPr>
              <w:t xml:space="preserve">Optimizar el procedimiento administrativo y la comunicación entre las áreas de servicios generales y sistemas para disminuir las inconsistencias entre registros. </w:t>
            </w:r>
          </w:p>
          <w:p w:rsidR="0076001D" w:rsidRDefault="0034129A">
            <w:pPr>
              <w:spacing w:after="0" w:line="241" w:lineRule="auto"/>
              <w:ind w:left="-14" w:right="103" w:firstLine="125"/>
            </w:pPr>
            <w:r>
              <w:rPr>
                <w:sz w:val="20"/>
              </w:rPr>
              <w:t xml:space="preserve">Incorporar en los registros de procesos y procedimientos de la OAP un acta de alta de activos de información que incluya equipos, software y accesos. Esta acta deberá  suscribirse por el usuario una vez recibidos  los activos y modificadas las claves de acceso a los sistemas y servicios. Esta acta es base para el control de devolución de activos de información al cese de la relación contractual de que habla el control ISO 27002:2013 </w:t>
            </w:r>
          </w:p>
          <w:p w:rsidR="0076001D" w:rsidRDefault="0034129A">
            <w:pPr>
              <w:spacing w:after="0" w:line="259" w:lineRule="auto"/>
              <w:ind w:left="110" w:right="105" w:firstLine="0"/>
            </w:pPr>
            <w:r>
              <w:rPr>
                <w:sz w:val="20"/>
              </w:rPr>
              <w:t xml:space="preserve">9.2.6 Eliminación o ajuste de los derechos de acceso. Se sugiere usar un esquema similar  al ejemplo presentado en el numeral 3.1.2 </w:t>
            </w:r>
          </w:p>
        </w:tc>
        <w:tc>
          <w:tcPr>
            <w:tcW w:w="6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 w:firstLine="0"/>
              <w:jc w:val="left"/>
            </w:pPr>
            <w:r>
              <w:rPr>
                <w:b/>
                <w:sz w:val="20"/>
              </w:rPr>
              <w:t xml:space="preserve"> </w:t>
            </w:r>
          </w:p>
          <w:p w:rsidR="0076001D" w:rsidRDefault="0034129A">
            <w:pPr>
              <w:spacing w:after="0" w:line="259" w:lineRule="auto"/>
              <w:ind w:left="6" w:firstLine="0"/>
              <w:jc w:val="left"/>
            </w:pPr>
            <w:r>
              <w:rPr>
                <w:b/>
                <w:sz w:val="20"/>
              </w:rPr>
              <w:t xml:space="preserve"> </w:t>
            </w:r>
          </w:p>
          <w:p w:rsidR="0076001D" w:rsidRDefault="0034129A">
            <w:pPr>
              <w:spacing w:after="0" w:line="259" w:lineRule="auto"/>
              <w:ind w:left="6" w:firstLine="0"/>
              <w:jc w:val="left"/>
            </w:pPr>
            <w:r>
              <w:rPr>
                <w:b/>
                <w:sz w:val="20"/>
              </w:rPr>
              <w:t xml:space="preserve"> </w:t>
            </w:r>
          </w:p>
          <w:p w:rsidR="0076001D" w:rsidRDefault="0034129A">
            <w:pPr>
              <w:spacing w:after="0" w:line="259" w:lineRule="auto"/>
              <w:ind w:left="6" w:firstLine="0"/>
              <w:jc w:val="left"/>
            </w:pPr>
            <w:r>
              <w:rPr>
                <w:b/>
                <w:sz w:val="20"/>
              </w:rPr>
              <w:t xml:space="preserve"> </w:t>
            </w:r>
          </w:p>
          <w:p w:rsidR="0076001D" w:rsidRDefault="0034129A">
            <w:pPr>
              <w:spacing w:after="5" w:line="259" w:lineRule="auto"/>
              <w:ind w:left="6" w:firstLine="0"/>
              <w:jc w:val="left"/>
            </w:pPr>
            <w:r>
              <w:rPr>
                <w:b/>
                <w:sz w:val="20"/>
              </w:rPr>
              <w:t xml:space="preserve"> </w:t>
            </w:r>
          </w:p>
          <w:p w:rsidR="0076001D" w:rsidRDefault="0034129A">
            <w:pPr>
              <w:spacing w:after="0" w:line="259" w:lineRule="auto"/>
              <w:ind w:left="6" w:firstLine="0"/>
              <w:jc w:val="left"/>
            </w:pPr>
            <w:r>
              <w:rPr>
                <w:b/>
              </w:rPr>
              <w:t xml:space="preserve"> </w:t>
            </w:r>
          </w:p>
          <w:p w:rsidR="0076001D" w:rsidRDefault="0034129A">
            <w:pPr>
              <w:spacing w:after="0" w:line="259" w:lineRule="auto"/>
              <w:ind w:left="0" w:firstLine="0"/>
              <w:jc w:val="right"/>
            </w:pPr>
            <w:r>
              <w:rPr>
                <w:rFonts w:ascii="Calibri" w:eastAsia="Calibri" w:hAnsi="Calibri" w:cs="Calibri"/>
                <w:noProof/>
                <w:lang w:val="es-ES" w:eastAsia="es-ES"/>
              </w:rPr>
              <mc:AlternateContent>
                <mc:Choice Requires="wpg">
                  <w:drawing>
                    <wp:inline distT="0" distB="0" distL="0" distR="0">
                      <wp:extent cx="304800" cy="276860"/>
                      <wp:effectExtent l="0" t="0" r="0" b="0"/>
                      <wp:docPr id="193126" name="Group 193126"/>
                      <wp:cNvGraphicFramePr/>
                      <a:graphic xmlns:a="http://schemas.openxmlformats.org/drawingml/2006/main">
                        <a:graphicData uri="http://schemas.microsoft.com/office/word/2010/wordprocessingGroup">
                          <wpg:wgp>
                            <wpg:cNvGrpSpPr/>
                            <wpg:grpSpPr>
                              <a:xfrm>
                                <a:off x="0" y="0"/>
                                <a:ext cx="304800" cy="276860"/>
                                <a:chOff x="0" y="0"/>
                                <a:chExt cx="304800" cy="276860"/>
                              </a:xfrm>
                            </wpg:grpSpPr>
                            <wps:wsp>
                              <wps:cNvPr id="20693" name="Shape 20693"/>
                              <wps:cNvSpPr/>
                              <wps:spPr>
                                <a:xfrm>
                                  <a:off x="0" y="0"/>
                                  <a:ext cx="304800" cy="276860"/>
                                </a:xfrm>
                                <a:custGeom>
                                  <a:avLst/>
                                  <a:gdLst/>
                                  <a:ahLst/>
                                  <a:cxnLst/>
                                  <a:rect l="0" t="0" r="0" b="0"/>
                                  <a:pathLst>
                                    <a:path w="304800" h="276860">
                                      <a:moveTo>
                                        <a:pt x="228600" y="0"/>
                                      </a:moveTo>
                                      <a:lnTo>
                                        <a:pt x="304800" y="138430"/>
                                      </a:lnTo>
                                      <a:lnTo>
                                        <a:pt x="228600" y="276860"/>
                                      </a:lnTo>
                                      <a:lnTo>
                                        <a:pt x="228600" y="207645"/>
                                      </a:lnTo>
                                      <a:lnTo>
                                        <a:pt x="0" y="207645"/>
                                      </a:lnTo>
                                      <a:lnTo>
                                        <a:pt x="0" y="69215"/>
                                      </a:lnTo>
                                      <a:lnTo>
                                        <a:pt x="228600" y="69215"/>
                                      </a:lnTo>
                                      <a:lnTo>
                                        <a:pt x="228600" y="0"/>
                                      </a:lnTo>
                                      <a:close/>
                                    </a:path>
                                  </a:pathLst>
                                </a:custGeom>
                                <a:ln w="0" cap="flat">
                                  <a:miter lim="127000"/>
                                </a:ln>
                              </wps:spPr>
                              <wps:style>
                                <a:lnRef idx="0">
                                  <a:srgbClr val="000000">
                                    <a:alpha val="0"/>
                                  </a:srgbClr>
                                </a:lnRef>
                                <a:fillRef idx="1">
                                  <a:srgbClr val="FFD966"/>
                                </a:fillRef>
                                <a:effectRef idx="0">
                                  <a:scrgbClr r="0" g="0" b="0"/>
                                </a:effectRef>
                                <a:fontRef idx="none"/>
                              </wps:style>
                              <wps:bodyPr/>
                            </wps:wsp>
                            <wps:wsp>
                              <wps:cNvPr id="20694" name="Shape 20694"/>
                              <wps:cNvSpPr/>
                              <wps:spPr>
                                <a:xfrm>
                                  <a:off x="0" y="0"/>
                                  <a:ext cx="304800" cy="276860"/>
                                </a:xfrm>
                                <a:custGeom>
                                  <a:avLst/>
                                  <a:gdLst/>
                                  <a:ahLst/>
                                  <a:cxnLst/>
                                  <a:rect l="0" t="0" r="0" b="0"/>
                                  <a:pathLst>
                                    <a:path w="304800" h="276860">
                                      <a:moveTo>
                                        <a:pt x="228600" y="0"/>
                                      </a:moveTo>
                                      <a:lnTo>
                                        <a:pt x="228600" y="69215"/>
                                      </a:lnTo>
                                      <a:lnTo>
                                        <a:pt x="0" y="69215"/>
                                      </a:lnTo>
                                      <a:lnTo>
                                        <a:pt x="0" y="207645"/>
                                      </a:lnTo>
                                      <a:lnTo>
                                        <a:pt x="228600" y="207645"/>
                                      </a:lnTo>
                                      <a:lnTo>
                                        <a:pt x="228600" y="276860"/>
                                      </a:lnTo>
                                      <a:lnTo>
                                        <a:pt x="304800" y="138430"/>
                                      </a:lnTo>
                                      <a:lnTo>
                                        <a:pt x="2286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93126" style="width:24pt;height:21.8pt;mso-position-horizontal-relative:char;mso-position-vertical-relative:line" coordsize="3048,2768">
                      <v:shape id="Shape 20693" style="position:absolute;width:3048;height:2768;left:0;top:0;" coordsize="304800,276860" path="m228600,0l304800,138430l228600,276860l228600,207645l0,207645l0,69215l228600,69215l228600,0x">
                        <v:stroke weight="0pt" endcap="flat" joinstyle="miter" miterlimit="10" on="false" color="#000000" opacity="0"/>
                        <v:fill on="true" color="#ffd966"/>
                      </v:shape>
                      <v:shape id="Shape 20694" style="position:absolute;width:3048;height:2768;left:0;top:0;" coordsize="304800,276860" path="m228600,0l228600,69215l0,69215l0,207645l228600,207645l228600,276860l304800,138430l228600,0x">
                        <v:stroke weight="0.75pt" endcap="flat" joinstyle="round" on="true" color="#000000"/>
                        <v:fill on="false" color="#000000" opacity="0"/>
                      </v:shape>
                    </v:group>
                  </w:pict>
                </mc:Fallback>
              </mc:AlternateContent>
            </w:r>
            <w:r>
              <w:rPr>
                <w:sz w:val="20"/>
              </w:rPr>
              <w:t xml:space="preserve"> </w:t>
            </w:r>
          </w:p>
        </w:tc>
        <w:tc>
          <w:tcPr>
            <w:tcW w:w="3930" w:type="dxa"/>
            <w:tcBorders>
              <w:top w:val="single" w:sz="4" w:space="0" w:color="000000"/>
              <w:left w:val="single" w:sz="4" w:space="0" w:color="000000"/>
              <w:bottom w:val="single" w:sz="4" w:space="0" w:color="000000"/>
              <w:right w:val="single" w:sz="4" w:space="0" w:color="000000"/>
            </w:tcBorders>
          </w:tcPr>
          <w:p w:rsidR="0076001D" w:rsidRDefault="0034129A">
            <w:pPr>
              <w:spacing w:after="3" w:line="259" w:lineRule="auto"/>
              <w:ind w:left="113" w:firstLine="0"/>
              <w:jc w:val="left"/>
            </w:pPr>
            <w:r>
              <w:rPr>
                <w:sz w:val="20"/>
              </w:rPr>
              <w:t xml:space="preserve">Si bien se está diligenciando el formato </w:t>
            </w:r>
          </w:p>
          <w:p w:rsidR="0076001D" w:rsidRDefault="0034129A">
            <w:pPr>
              <w:spacing w:after="2" w:line="238" w:lineRule="auto"/>
              <w:ind w:left="113" w:firstLine="0"/>
            </w:pPr>
            <w:r>
              <w:t xml:space="preserve">FT-GT-12-20 Compromiso de cumplimiento de las políticas TIC del </w:t>
            </w:r>
          </w:p>
          <w:p w:rsidR="0076001D" w:rsidRDefault="0034129A">
            <w:pPr>
              <w:spacing w:after="0" w:line="259" w:lineRule="auto"/>
              <w:ind w:left="113" w:right="91" w:firstLine="0"/>
            </w:pPr>
            <w:r>
              <w:t xml:space="preserve">Idep, se debe complementar agregando las características faltantes definidas en la recomendación. </w:t>
            </w:r>
          </w:p>
        </w:tc>
      </w:tr>
      <w:tr w:rsidR="0076001D">
        <w:trPr>
          <w:trHeight w:val="1622"/>
        </w:trPr>
        <w:tc>
          <w:tcPr>
            <w:tcW w:w="65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rPr>
              <w:t xml:space="preserve"> </w:t>
            </w:r>
          </w:p>
          <w:p w:rsidR="0076001D" w:rsidRDefault="0034129A">
            <w:pPr>
              <w:spacing w:after="139" w:line="259" w:lineRule="auto"/>
              <w:ind w:left="5" w:firstLine="0"/>
              <w:jc w:val="left"/>
            </w:pPr>
            <w:r>
              <w:rPr>
                <w:b/>
              </w:rPr>
              <w:t xml:space="preserve"> </w:t>
            </w:r>
          </w:p>
          <w:p w:rsidR="0076001D" w:rsidRDefault="0034129A">
            <w:pPr>
              <w:spacing w:after="0" w:line="259" w:lineRule="auto"/>
              <w:ind w:left="0" w:right="13" w:firstLine="0"/>
              <w:jc w:val="right"/>
            </w:pPr>
            <w:r>
              <w:rPr>
                <w:sz w:val="20"/>
              </w:rPr>
              <w:t>4.</w:t>
            </w:r>
          </w:p>
        </w:tc>
        <w:tc>
          <w:tcPr>
            <w:tcW w:w="436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41" w:lineRule="auto"/>
              <w:ind w:left="110" w:right="107" w:firstLine="0"/>
            </w:pPr>
            <w:r>
              <w:rPr>
                <w:sz w:val="20"/>
              </w:rPr>
              <w:t xml:space="preserve">Incluir en el Plan de adquisiciones el escalamiento a las versiones de productos Microsoft que pierden soporte del fabricante. </w:t>
            </w:r>
          </w:p>
          <w:p w:rsidR="0076001D" w:rsidRDefault="0034129A">
            <w:pPr>
              <w:spacing w:after="0" w:line="259" w:lineRule="auto"/>
              <w:ind w:left="-14" w:firstLine="0"/>
              <w:jc w:val="left"/>
            </w:pPr>
            <w:r>
              <w:rPr>
                <w:sz w:val="20"/>
              </w:rPr>
              <w:t xml:space="preserve"> </w:t>
            </w:r>
          </w:p>
        </w:tc>
        <w:tc>
          <w:tcPr>
            <w:tcW w:w="67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 w:firstLine="0"/>
              <w:jc w:val="left"/>
            </w:pPr>
            <w:r>
              <w:rPr>
                <w:b/>
                <w:sz w:val="25"/>
              </w:rPr>
              <w:t xml:space="preserve"> </w:t>
            </w:r>
          </w:p>
          <w:p w:rsidR="0076001D" w:rsidRDefault="0034129A">
            <w:pPr>
              <w:spacing w:after="0" w:line="259" w:lineRule="auto"/>
              <w:ind w:left="0" w:right="12" w:firstLine="0"/>
              <w:jc w:val="right"/>
            </w:pPr>
            <w:r>
              <w:rPr>
                <w:rFonts w:ascii="Calibri" w:eastAsia="Calibri" w:hAnsi="Calibri" w:cs="Calibri"/>
                <w:noProof/>
                <w:lang w:val="es-ES" w:eastAsia="es-ES"/>
              </w:rPr>
              <mc:AlternateContent>
                <mc:Choice Requires="wpg">
                  <w:drawing>
                    <wp:inline distT="0" distB="0" distL="0" distR="0">
                      <wp:extent cx="304800" cy="277495"/>
                      <wp:effectExtent l="0" t="0" r="0" b="0"/>
                      <wp:docPr id="193808" name="Group 193808"/>
                      <wp:cNvGraphicFramePr/>
                      <a:graphic xmlns:a="http://schemas.openxmlformats.org/drawingml/2006/main">
                        <a:graphicData uri="http://schemas.microsoft.com/office/word/2010/wordprocessingGroup">
                          <wpg:wgp>
                            <wpg:cNvGrpSpPr/>
                            <wpg:grpSpPr>
                              <a:xfrm>
                                <a:off x="0" y="0"/>
                                <a:ext cx="304800" cy="277495"/>
                                <a:chOff x="0" y="0"/>
                                <a:chExt cx="304800" cy="277495"/>
                              </a:xfrm>
                            </wpg:grpSpPr>
                            <wps:wsp>
                              <wps:cNvPr id="20695" name="Shape 20695"/>
                              <wps:cNvSpPr/>
                              <wps:spPr>
                                <a:xfrm>
                                  <a:off x="0" y="0"/>
                                  <a:ext cx="304800" cy="277495"/>
                                </a:xfrm>
                                <a:custGeom>
                                  <a:avLst/>
                                  <a:gdLst/>
                                  <a:ahLst/>
                                  <a:cxnLst/>
                                  <a:rect l="0" t="0" r="0" b="0"/>
                                  <a:pathLst>
                                    <a:path w="304800" h="277495">
                                      <a:moveTo>
                                        <a:pt x="228600" y="0"/>
                                      </a:moveTo>
                                      <a:lnTo>
                                        <a:pt x="304800" y="138430"/>
                                      </a:lnTo>
                                      <a:lnTo>
                                        <a:pt x="228600" y="277495"/>
                                      </a:lnTo>
                                      <a:lnTo>
                                        <a:pt x="228600" y="207645"/>
                                      </a:lnTo>
                                      <a:lnTo>
                                        <a:pt x="0" y="207645"/>
                                      </a:lnTo>
                                      <a:lnTo>
                                        <a:pt x="0" y="69215"/>
                                      </a:lnTo>
                                      <a:lnTo>
                                        <a:pt x="228600" y="69215"/>
                                      </a:lnTo>
                                      <a:lnTo>
                                        <a:pt x="228600" y="0"/>
                                      </a:lnTo>
                                      <a:close/>
                                    </a:path>
                                  </a:pathLst>
                                </a:custGeom>
                                <a:ln w="0" cap="flat">
                                  <a:round/>
                                </a:ln>
                              </wps:spPr>
                              <wps:style>
                                <a:lnRef idx="0">
                                  <a:srgbClr val="000000">
                                    <a:alpha val="0"/>
                                  </a:srgbClr>
                                </a:lnRef>
                                <a:fillRef idx="1">
                                  <a:srgbClr val="FFD966"/>
                                </a:fillRef>
                                <a:effectRef idx="0">
                                  <a:scrgbClr r="0" g="0" b="0"/>
                                </a:effectRef>
                                <a:fontRef idx="none"/>
                              </wps:style>
                              <wps:bodyPr/>
                            </wps:wsp>
                            <wps:wsp>
                              <wps:cNvPr id="20696" name="Shape 20696"/>
                              <wps:cNvSpPr/>
                              <wps:spPr>
                                <a:xfrm>
                                  <a:off x="0" y="0"/>
                                  <a:ext cx="304800" cy="277495"/>
                                </a:xfrm>
                                <a:custGeom>
                                  <a:avLst/>
                                  <a:gdLst/>
                                  <a:ahLst/>
                                  <a:cxnLst/>
                                  <a:rect l="0" t="0" r="0" b="0"/>
                                  <a:pathLst>
                                    <a:path w="304800" h="277495">
                                      <a:moveTo>
                                        <a:pt x="228600" y="0"/>
                                      </a:moveTo>
                                      <a:lnTo>
                                        <a:pt x="228600" y="69215"/>
                                      </a:lnTo>
                                      <a:lnTo>
                                        <a:pt x="0" y="69215"/>
                                      </a:lnTo>
                                      <a:lnTo>
                                        <a:pt x="0" y="207645"/>
                                      </a:lnTo>
                                      <a:lnTo>
                                        <a:pt x="228600" y="207645"/>
                                      </a:lnTo>
                                      <a:lnTo>
                                        <a:pt x="228600" y="277495"/>
                                      </a:lnTo>
                                      <a:lnTo>
                                        <a:pt x="304800" y="138430"/>
                                      </a:lnTo>
                                      <a:lnTo>
                                        <a:pt x="22860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http://schemas.microsoft.com/office/drawing/2014/chartex">
                  <w:pict>
                    <v:group id="Group 193808" style="width:24pt;height:21.85pt;mso-position-horizontal-relative:char;mso-position-vertical-relative:line" coordsize="3048,2774">
                      <v:shape id="Shape 20695" style="position:absolute;width:3048;height:2774;left:0;top:0;" coordsize="304800,277495" path="m228600,0l304800,138430l228600,277495l228600,207645l0,207645l0,69215l228600,69215l228600,0x">
                        <v:stroke weight="0pt" endcap="flat" joinstyle="round" on="false" color="#000000" opacity="0"/>
                        <v:fill on="true" color="#ffd966"/>
                      </v:shape>
                      <v:shape id="Shape 20696" style="position:absolute;width:3048;height:2774;left:0;top:0;" coordsize="304800,277495" path="m228600,0l228600,69215l0,69215l0,207645l228600,207645l228600,277495l304800,138430l228600,0x">
                        <v:stroke weight="0.75pt" endcap="flat" joinstyle="round" on="true" color="#000000"/>
                        <v:fill on="false" color="#000000" opacity="0"/>
                      </v:shape>
                    </v:group>
                  </w:pict>
                </mc:Fallback>
              </mc:AlternateContent>
            </w:r>
            <w:r>
              <w:rPr>
                <w:sz w:val="20"/>
              </w:rPr>
              <w:t xml:space="preserve"> </w:t>
            </w:r>
          </w:p>
        </w:tc>
        <w:tc>
          <w:tcPr>
            <w:tcW w:w="3930"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3" w:right="99" w:firstLine="0"/>
            </w:pPr>
            <w:r>
              <w:rPr>
                <w:sz w:val="20"/>
              </w:rPr>
              <w:t xml:space="preserve">Si bien no </w:t>
            </w:r>
            <w:proofErr w:type="spellStart"/>
            <w:r>
              <w:rPr>
                <w:sz w:val="20"/>
              </w:rPr>
              <w:t>esta</w:t>
            </w:r>
            <w:proofErr w:type="spellEnd"/>
            <w:r>
              <w:rPr>
                <w:sz w:val="20"/>
              </w:rPr>
              <w:t xml:space="preserve"> incluido en pal de adquisiciones este escalamiento ya se cuenta con el licenciamiento de servidores, el activo más crítico en cuanto a soporte del fabricante. Falta complementa el recambio de versiones en los equipos de usuario. </w:t>
            </w:r>
          </w:p>
        </w:tc>
      </w:tr>
    </w:tbl>
    <w:p w:rsidR="0076001D" w:rsidRDefault="0034129A">
      <w:pPr>
        <w:spacing w:after="0" w:line="259" w:lineRule="auto"/>
        <w:ind w:left="0" w:firstLine="0"/>
        <w:jc w:val="left"/>
      </w:pPr>
      <w:r>
        <w:rPr>
          <w:b/>
          <w:sz w:val="20"/>
        </w:rPr>
        <w:t xml:space="preserve"> </w:t>
      </w:r>
    </w:p>
    <w:p w:rsidR="0076001D" w:rsidRDefault="0034129A">
      <w:pPr>
        <w:spacing w:after="115" w:line="259" w:lineRule="auto"/>
        <w:ind w:left="0" w:firstLine="0"/>
        <w:jc w:val="left"/>
      </w:pPr>
      <w:r>
        <w:rPr>
          <w:b/>
          <w:sz w:val="18"/>
        </w:rPr>
        <w:t xml:space="preserve"> </w:t>
      </w:r>
    </w:p>
    <w:p w:rsidR="0076001D" w:rsidRDefault="0034129A">
      <w:pPr>
        <w:pStyle w:val="Ttulo4"/>
        <w:tabs>
          <w:tab w:val="center" w:pos="870"/>
          <w:tab w:val="center" w:pos="4780"/>
        </w:tabs>
        <w:ind w:left="0" w:firstLine="0"/>
      </w:pPr>
      <w:r>
        <w:rPr>
          <w:rFonts w:ascii="Calibri" w:eastAsia="Calibri" w:hAnsi="Calibri" w:cs="Calibri"/>
          <w:b w:val="0"/>
        </w:rPr>
        <w:tab/>
      </w:r>
      <w:r>
        <w:t xml:space="preserve">5.4.1.2 </w:t>
      </w:r>
      <w:r>
        <w:tab/>
        <w:t xml:space="preserve">Nuevas Recomendaciones 2020 </w:t>
      </w:r>
    </w:p>
    <w:tbl>
      <w:tblPr>
        <w:tblStyle w:val="TableGrid"/>
        <w:tblW w:w="9612" w:type="dxa"/>
        <w:tblInd w:w="164" w:type="dxa"/>
        <w:tblCellMar>
          <w:top w:w="13" w:type="dxa"/>
          <w:left w:w="53" w:type="dxa"/>
          <w:right w:w="68" w:type="dxa"/>
        </w:tblCellMar>
        <w:tblLook w:val="04A0" w:firstRow="1" w:lastRow="0" w:firstColumn="1" w:lastColumn="0" w:noHBand="0" w:noVBand="1"/>
      </w:tblPr>
      <w:tblGrid>
        <w:gridCol w:w="532"/>
        <w:gridCol w:w="9080"/>
      </w:tblGrid>
      <w:tr w:rsidR="0076001D">
        <w:trPr>
          <w:trHeight w:val="276"/>
        </w:trPr>
        <w:tc>
          <w:tcPr>
            <w:tcW w:w="53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74" w:firstLine="0"/>
              <w:jc w:val="left"/>
            </w:pPr>
            <w:r>
              <w:rPr>
                <w:b/>
                <w:sz w:val="20"/>
              </w:rPr>
              <w:t xml:space="preserve">N°. </w:t>
            </w:r>
          </w:p>
        </w:tc>
        <w:tc>
          <w:tcPr>
            <w:tcW w:w="908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6" w:firstLine="0"/>
              <w:jc w:val="center"/>
            </w:pPr>
            <w:r>
              <w:rPr>
                <w:b/>
                <w:sz w:val="20"/>
              </w:rPr>
              <w:t xml:space="preserve">Recomendación 2020 </w:t>
            </w:r>
          </w:p>
        </w:tc>
      </w:tr>
      <w:tr w:rsidR="0076001D">
        <w:trPr>
          <w:trHeight w:val="477"/>
        </w:trPr>
        <w:tc>
          <w:tcPr>
            <w:tcW w:w="532"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0" w:firstLine="0"/>
              <w:jc w:val="left"/>
            </w:pPr>
            <w:r>
              <w:rPr>
                <w:sz w:val="20"/>
              </w:rPr>
              <w:t xml:space="preserve">1. </w:t>
            </w:r>
          </w:p>
        </w:tc>
        <w:tc>
          <w:tcPr>
            <w:tcW w:w="908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1" w:firstLine="0"/>
              <w:jc w:val="left"/>
            </w:pPr>
            <w:r>
              <w:rPr>
                <w:sz w:val="20"/>
              </w:rPr>
              <w:t xml:space="preserve">Atender las recomendaciones que se encuentran con flecha roja y/o amarilla del tablero de seguimiento a las recomendaciones 2019. </w:t>
            </w:r>
          </w:p>
        </w:tc>
      </w:tr>
    </w:tbl>
    <w:p w:rsidR="0076001D" w:rsidRDefault="0034129A">
      <w:pPr>
        <w:spacing w:after="0" w:line="259" w:lineRule="auto"/>
        <w:ind w:left="0" w:firstLine="0"/>
        <w:jc w:val="left"/>
      </w:pPr>
      <w:r>
        <w:rPr>
          <w:b/>
          <w:sz w:val="24"/>
        </w:rPr>
        <w:t xml:space="preserve"> </w:t>
      </w:r>
    </w:p>
    <w:p w:rsidR="0076001D" w:rsidRDefault="0034129A">
      <w:pPr>
        <w:spacing w:after="0" w:line="259" w:lineRule="auto"/>
        <w:ind w:left="0" w:firstLine="0"/>
        <w:jc w:val="left"/>
      </w:pPr>
      <w:r>
        <w:rPr>
          <w:b/>
        </w:rPr>
        <w:t xml:space="preserve"> </w:t>
      </w:r>
    </w:p>
    <w:p w:rsidR="0076001D" w:rsidRDefault="0034129A">
      <w:pPr>
        <w:pStyle w:val="Ttulo3"/>
        <w:ind w:left="538"/>
      </w:pPr>
      <w:r>
        <w:t xml:space="preserve">5.4.2 </w:t>
      </w:r>
      <w:proofErr w:type="spellStart"/>
      <w:r>
        <w:t>Help</w:t>
      </w:r>
      <w:proofErr w:type="spellEnd"/>
      <w:r>
        <w:t xml:space="preserve"> </w:t>
      </w:r>
      <w:proofErr w:type="spellStart"/>
      <w:r>
        <w:t>Desk</w:t>
      </w:r>
      <w:proofErr w:type="spellEnd"/>
      <w:r>
        <w:t xml:space="preserve"> </w:t>
      </w:r>
    </w:p>
    <w:p w:rsidR="0076001D" w:rsidRDefault="0034129A">
      <w:pPr>
        <w:spacing w:after="0" w:line="259" w:lineRule="auto"/>
        <w:ind w:left="0" w:firstLine="0"/>
        <w:jc w:val="left"/>
      </w:pPr>
      <w:r>
        <w:rPr>
          <w:b/>
          <w:sz w:val="20"/>
        </w:rPr>
        <w:t xml:space="preserve"> </w:t>
      </w:r>
    </w:p>
    <w:p w:rsidR="0076001D" w:rsidRDefault="0034129A">
      <w:pPr>
        <w:spacing w:after="80" w:line="259" w:lineRule="auto"/>
        <w:ind w:left="0" w:firstLine="0"/>
        <w:jc w:val="left"/>
      </w:pPr>
      <w:r>
        <w:rPr>
          <w:b/>
          <w:sz w:val="20"/>
        </w:rPr>
        <w:t xml:space="preserve"> </w:t>
      </w:r>
    </w:p>
    <w:p w:rsidR="0076001D" w:rsidRDefault="0034129A">
      <w:pPr>
        <w:ind w:left="914" w:right="433"/>
      </w:pPr>
      <w:r>
        <w:rPr>
          <w:noProof/>
          <w:lang w:val="es-ES" w:eastAsia="es-ES"/>
        </w:rPr>
        <w:drawing>
          <wp:inline distT="0" distB="0" distL="0" distR="0">
            <wp:extent cx="226149" cy="227965"/>
            <wp:effectExtent l="0" t="0" r="0" b="0"/>
            <wp:docPr id="20692" name="Picture 20692"/>
            <wp:cNvGraphicFramePr/>
            <a:graphic xmlns:a="http://schemas.openxmlformats.org/drawingml/2006/main">
              <a:graphicData uri="http://schemas.openxmlformats.org/drawingml/2006/picture">
                <pic:pic xmlns:pic="http://schemas.openxmlformats.org/drawingml/2006/picture">
                  <pic:nvPicPr>
                    <pic:cNvPr id="20692" name="Picture 20692"/>
                    <pic:cNvPicPr/>
                  </pic:nvPicPr>
                  <pic:blipFill>
                    <a:blip r:embed="rId60"/>
                    <a:stretch>
                      <a:fillRect/>
                    </a:stretch>
                  </pic:blipFill>
                  <pic:spPr>
                    <a:xfrm>
                      <a:off x="0" y="0"/>
                      <a:ext cx="226149" cy="227965"/>
                    </a:xfrm>
                    <a:prstGeom prst="rect">
                      <a:avLst/>
                    </a:prstGeom>
                  </pic:spPr>
                </pic:pic>
              </a:graphicData>
            </a:graphic>
          </wp:inline>
        </w:drawing>
      </w:r>
      <w:r>
        <w:rPr>
          <w:rFonts w:ascii="Times New Roman" w:eastAsia="Times New Roman" w:hAnsi="Times New Roman" w:cs="Times New Roman"/>
          <w:sz w:val="20"/>
        </w:rPr>
        <w:t xml:space="preserve">       </w:t>
      </w:r>
      <w:r>
        <w:t xml:space="preserve">La configuración del sistema de registro incidentes y generación de tickets, OS tickets continua sin protecciones de acceso de usuario, y, por ende, cualquier persona que ingrese al </w:t>
      </w:r>
      <w:proofErr w:type="spellStart"/>
      <w:r>
        <w:t>vinculo</w:t>
      </w:r>
      <w:proofErr w:type="spellEnd"/>
      <w:r>
        <w:t xml:space="preserve"> en internet de la mesa de ayuda del Idep podría registrar un incidente o soporte. </w:t>
      </w:r>
    </w:p>
    <w:p w:rsidR="0076001D" w:rsidRDefault="0034129A">
      <w:pPr>
        <w:ind w:left="900" w:firstLine="0"/>
      </w:pPr>
      <w:r>
        <w:t xml:space="preserve">En la siguiente imagen se muestra la funcionalidad en la herramienta para su </w:t>
      </w:r>
    </w:p>
    <w:p w:rsidR="0076001D" w:rsidRDefault="0034129A">
      <w:pPr>
        <w:spacing w:after="158" w:line="259" w:lineRule="auto"/>
        <w:ind w:left="0" w:firstLine="0"/>
        <w:jc w:val="left"/>
      </w:pPr>
      <w:r>
        <w:rPr>
          <w:sz w:val="14"/>
        </w:rPr>
        <w:t xml:space="preserve"> </w:t>
      </w:r>
    </w:p>
    <w:p w:rsidR="0076001D" w:rsidRDefault="0034129A">
      <w:pPr>
        <w:ind w:left="900" w:firstLine="0"/>
      </w:pPr>
      <w:proofErr w:type="gramStart"/>
      <w:r>
        <w:t>configuración</w:t>
      </w:r>
      <w:proofErr w:type="gramEnd"/>
      <w:r>
        <w:t xml:space="preserve">, en donde se evidencia que no se encuentra activada para la autenticación para usuario final para poder generar tickets: </w:t>
      </w:r>
    </w:p>
    <w:p w:rsidR="0076001D" w:rsidRDefault="0034129A">
      <w:pPr>
        <w:spacing w:after="0" w:line="259" w:lineRule="auto"/>
        <w:ind w:left="0" w:firstLine="0"/>
        <w:jc w:val="left"/>
      </w:pPr>
      <w:r>
        <w:rPr>
          <w:sz w:val="18"/>
        </w:rPr>
        <w:t xml:space="preserve"> </w:t>
      </w:r>
    </w:p>
    <w:p w:rsidR="0076001D" w:rsidRDefault="0034129A">
      <w:pPr>
        <w:spacing w:after="10" w:line="259" w:lineRule="auto"/>
        <w:ind w:left="1924" w:firstLine="0"/>
        <w:jc w:val="left"/>
      </w:pPr>
      <w:r>
        <w:rPr>
          <w:noProof/>
          <w:lang w:val="es-ES" w:eastAsia="es-ES"/>
        </w:rPr>
        <w:lastRenderedPageBreak/>
        <w:drawing>
          <wp:inline distT="0" distB="0" distL="0" distR="0">
            <wp:extent cx="4243070" cy="3146806"/>
            <wp:effectExtent l="0" t="0" r="0" b="0"/>
            <wp:docPr id="20768" name="Picture 20768"/>
            <wp:cNvGraphicFramePr/>
            <a:graphic xmlns:a="http://schemas.openxmlformats.org/drawingml/2006/main">
              <a:graphicData uri="http://schemas.openxmlformats.org/drawingml/2006/picture">
                <pic:pic xmlns:pic="http://schemas.openxmlformats.org/drawingml/2006/picture">
                  <pic:nvPicPr>
                    <pic:cNvPr id="20768" name="Picture 20768"/>
                    <pic:cNvPicPr/>
                  </pic:nvPicPr>
                  <pic:blipFill>
                    <a:blip r:embed="rId195"/>
                    <a:stretch>
                      <a:fillRect/>
                    </a:stretch>
                  </pic:blipFill>
                  <pic:spPr>
                    <a:xfrm>
                      <a:off x="0" y="0"/>
                      <a:ext cx="4243070" cy="3146806"/>
                    </a:xfrm>
                    <a:prstGeom prst="rect">
                      <a:avLst/>
                    </a:prstGeom>
                  </pic:spPr>
                </pic:pic>
              </a:graphicData>
            </a:graphic>
          </wp:inline>
        </w:drawing>
      </w:r>
    </w:p>
    <w:p w:rsidR="0076001D" w:rsidRDefault="0034129A">
      <w:pPr>
        <w:spacing w:after="0" w:line="259" w:lineRule="auto"/>
        <w:ind w:left="0" w:firstLine="0"/>
        <w:jc w:val="left"/>
      </w:pPr>
      <w:r>
        <w:rPr>
          <w:sz w:val="24"/>
        </w:rPr>
        <w:t xml:space="preserve"> </w:t>
      </w:r>
    </w:p>
    <w:p w:rsidR="0076001D" w:rsidRDefault="0034129A">
      <w:pPr>
        <w:spacing w:line="259" w:lineRule="auto"/>
        <w:ind w:left="0" w:right="9210" w:firstLine="0"/>
        <w:jc w:val="left"/>
      </w:pPr>
      <w:r>
        <w:rPr>
          <w:sz w:val="19"/>
        </w:rPr>
        <w:t xml:space="preserve"> </w:t>
      </w:r>
    </w:p>
    <w:p w:rsidR="0076001D" w:rsidRDefault="0034129A">
      <w:pPr>
        <w:ind w:left="914" w:right="434"/>
      </w:pPr>
      <w:r>
        <w:rPr>
          <w:noProof/>
          <w:lang w:val="es-ES" w:eastAsia="es-ES"/>
        </w:rPr>
        <w:drawing>
          <wp:inline distT="0" distB="0" distL="0" distR="0">
            <wp:extent cx="226695" cy="228511"/>
            <wp:effectExtent l="0" t="0" r="0" b="0"/>
            <wp:docPr id="20762" name="Picture 20762"/>
            <wp:cNvGraphicFramePr/>
            <a:graphic xmlns:a="http://schemas.openxmlformats.org/drawingml/2006/main">
              <a:graphicData uri="http://schemas.openxmlformats.org/drawingml/2006/picture">
                <pic:pic xmlns:pic="http://schemas.openxmlformats.org/drawingml/2006/picture">
                  <pic:nvPicPr>
                    <pic:cNvPr id="20762" name="Picture 20762"/>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Aún no se tiene configurados agentes de soporte para registrar y tramitar los incidentes a cargo de los proveedores de los sistemas de información, como medida de control de cumplimiento de los ANS y tampoco se han configurados agentes de soporte para registrar y tramitar los incidentes a cargo de los proveedores de los sistemas de información, como medida de control de cumplimiento de los ANS. </w:t>
      </w:r>
    </w:p>
    <w:p w:rsidR="0076001D" w:rsidRDefault="0034129A">
      <w:pPr>
        <w:ind w:left="914" w:right="437"/>
      </w:pPr>
      <w:r>
        <w:rPr>
          <w:noProof/>
          <w:lang w:val="es-ES" w:eastAsia="es-ES"/>
        </w:rPr>
        <w:drawing>
          <wp:inline distT="0" distB="0" distL="0" distR="0">
            <wp:extent cx="226695" cy="228511"/>
            <wp:effectExtent l="0" t="0" r="0" b="0"/>
            <wp:docPr id="20764" name="Picture 20764"/>
            <wp:cNvGraphicFramePr/>
            <a:graphic xmlns:a="http://schemas.openxmlformats.org/drawingml/2006/main">
              <a:graphicData uri="http://schemas.openxmlformats.org/drawingml/2006/picture">
                <pic:pic xmlns:pic="http://schemas.openxmlformats.org/drawingml/2006/picture">
                  <pic:nvPicPr>
                    <pic:cNvPr id="20764" name="Picture 20764"/>
                    <pic:cNvPicPr/>
                  </pic:nvPicPr>
                  <pic:blipFill>
                    <a:blip r:embed="rId60"/>
                    <a:stretch>
                      <a:fillRect/>
                    </a:stretch>
                  </pic:blipFill>
                  <pic:spPr>
                    <a:xfrm>
                      <a:off x="0" y="0"/>
                      <a:ext cx="226695" cy="228511"/>
                    </a:xfrm>
                    <a:prstGeom prst="rect">
                      <a:avLst/>
                    </a:prstGeom>
                  </pic:spPr>
                </pic:pic>
              </a:graphicData>
            </a:graphic>
          </wp:inline>
        </w:drawing>
      </w:r>
      <w:r>
        <w:rPr>
          <w:rFonts w:ascii="Times New Roman" w:eastAsia="Times New Roman" w:hAnsi="Times New Roman" w:cs="Times New Roman"/>
          <w:sz w:val="20"/>
        </w:rPr>
        <w:t xml:space="preserve">       </w:t>
      </w:r>
      <w:r>
        <w:t xml:space="preserve">No se tienen configurados los ANS (SLA) en el sistema por tipo de servicios y/o soporte, por tanto, no es posible determinar si se cumplen los tiempos de atención internos por tipo de soporte y la </w:t>
      </w:r>
      <w:proofErr w:type="spellStart"/>
      <w:r>
        <w:t>efectivad</w:t>
      </w:r>
      <w:proofErr w:type="spellEnd"/>
      <w:r>
        <w:t xml:space="preserve"> de atención del único agente de servicio creado en el sistema. </w:t>
      </w:r>
    </w:p>
    <w:p w:rsidR="0076001D" w:rsidRDefault="0034129A">
      <w:pPr>
        <w:spacing w:after="0" w:line="259" w:lineRule="auto"/>
        <w:ind w:left="0" w:right="1085" w:firstLine="0"/>
        <w:jc w:val="right"/>
      </w:pPr>
      <w:r>
        <w:rPr>
          <w:noProof/>
          <w:lang w:val="es-ES" w:eastAsia="es-ES"/>
        </w:rPr>
        <w:drawing>
          <wp:inline distT="0" distB="0" distL="0" distR="0">
            <wp:extent cx="4699127" cy="1863090"/>
            <wp:effectExtent l="0" t="0" r="0" b="0"/>
            <wp:docPr id="20766" name="Picture 20766"/>
            <wp:cNvGraphicFramePr/>
            <a:graphic xmlns:a="http://schemas.openxmlformats.org/drawingml/2006/main">
              <a:graphicData uri="http://schemas.openxmlformats.org/drawingml/2006/picture">
                <pic:pic xmlns:pic="http://schemas.openxmlformats.org/drawingml/2006/picture">
                  <pic:nvPicPr>
                    <pic:cNvPr id="20766" name="Picture 20766"/>
                    <pic:cNvPicPr/>
                  </pic:nvPicPr>
                  <pic:blipFill>
                    <a:blip r:embed="rId196"/>
                    <a:stretch>
                      <a:fillRect/>
                    </a:stretch>
                  </pic:blipFill>
                  <pic:spPr>
                    <a:xfrm>
                      <a:off x="0" y="0"/>
                      <a:ext cx="4699127" cy="1863090"/>
                    </a:xfrm>
                    <a:prstGeom prst="rect">
                      <a:avLst/>
                    </a:prstGeom>
                  </pic:spPr>
                </pic:pic>
              </a:graphicData>
            </a:graphic>
          </wp:inline>
        </w:drawing>
      </w:r>
      <w:r>
        <w:rPr>
          <w:sz w:val="20"/>
        </w:rPr>
        <w:t xml:space="preserve"> </w:t>
      </w:r>
    </w:p>
    <w:p w:rsidR="0076001D" w:rsidRDefault="0034129A">
      <w:pPr>
        <w:spacing w:after="0" w:line="259" w:lineRule="auto"/>
        <w:ind w:left="0" w:firstLine="0"/>
        <w:jc w:val="left"/>
      </w:pPr>
      <w:r>
        <w:rPr>
          <w:sz w:val="27"/>
        </w:rPr>
        <w:t xml:space="preserve"> </w:t>
      </w:r>
    </w:p>
    <w:p w:rsidR="0076001D" w:rsidRDefault="0034129A">
      <w:pPr>
        <w:ind w:left="914"/>
      </w:pPr>
      <w:r>
        <w:rPr>
          <w:noProof/>
          <w:lang w:val="es-ES" w:eastAsia="es-ES"/>
        </w:rPr>
        <w:drawing>
          <wp:inline distT="0" distB="0" distL="0" distR="0">
            <wp:extent cx="227546" cy="136525"/>
            <wp:effectExtent l="0" t="0" r="0" b="0"/>
            <wp:docPr id="21006" name="Picture 21006"/>
            <wp:cNvGraphicFramePr/>
            <a:graphic xmlns:a="http://schemas.openxmlformats.org/drawingml/2006/main">
              <a:graphicData uri="http://schemas.openxmlformats.org/drawingml/2006/picture">
                <pic:pic xmlns:pic="http://schemas.openxmlformats.org/drawingml/2006/picture">
                  <pic:nvPicPr>
                    <pic:cNvPr id="21006" name="Picture 21006"/>
                    <pic:cNvPicPr/>
                  </pic:nvPicPr>
                  <pic:blipFill>
                    <a:blip r:embed="rId8"/>
                    <a:stretch>
                      <a:fillRect/>
                    </a:stretch>
                  </pic:blipFill>
                  <pic:spPr>
                    <a:xfrm>
                      <a:off x="0" y="0"/>
                      <a:ext cx="227546" cy="136525"/>
                    </a:xfrm>
                    <a:prstGeom prst="rect">
                      <a:avLst/>
                    </a:prstGeom>
                  </pic:spPr>
                </pic:pic>
              </a:graphicData>
            </a:graphic>
          </wp:inline>
        </w:drawing>
      </w:r>
      <w:r>
        <w:t xml:space="preserve">El único informe que se genera como control del servicio de la mesa de ayuda es de las estadísticas de tickets, como se aprecia en la siguiente imagen: </w:t>
      </w:r>
    </w:p>
    <w:p w:rsidR="0076001D" w:rsidRDefault="0034129A">
      <w:pPr>
        <w:spacing w:after="0" w:line="259" w:lineRule="auto"/>
        <w:ind w:left="0" w:firstLine="0"/>
        <w:jc w:val="right"/>
      </w:pPr>
      <w:r>
        <w:rPr>
          <w:noProof/>
          <w:lang w:val="es-ES" w:eastAsia="es-ES"/>
        </w:rPr>
        <w:lastRenderedPageBreak/>
        <w:drawing>
          <wp:inline distT="0" distB="0" distL="0" distR="0">
            <wp:extent cx="5810250" cy="3216148"/>
            <wp:effectExtent l="0" t="0" r="0" b="0"/>
            <wp:docPr id="20998" name="Picture 20998"/>
            <wp:cNvGraphicFramePr/>
            <a:graphic xmlns:a="http://schemas.openxmlformats.org/drawingml/2006/main">
              <a:graphicData uri="http://schemas.openxmlformats.org/drawingml/2006/picture">
                <pic:pic xmlns:pic="http://schemas.openxmlformats.org/drawingml/2006/picture">
                  <pic:nvPicPr>
                    <pic:cNvPr id="20998" name="Picture 20998"/>
                    <pic:cNvPicPr/>
                  </pic:nvPicPr>
                  <pic:blipFill>
                    <a:blip r:embed="rId197"/>
                    <a:stretch>
                      <a:fillRect/>
                    </a:stretch>
                  </pic:blipFill>
                  <pic:spPr>
                    <a:xfrm>
                      <a:off x="0" y="0"/>
                      <a:ext cx="5810250" cy="3216148"/>
                    </a:xfrm>
                    <a:prstGeom prst="rect">
                      <a:avLst/>
                    </a:prstGeom>
                  </pic:spPr>
                </pic:pic>
              </a:graphicData>
            </a:graphic>
          </wp:inline>
        </w:drawing>
      </w:r>
      <w:r>
        <w:rPr>
          <w:sz w:val="20"/>
        </w:rPr>
        <w:t xml:space="preserve"> </w:t>
      </w:r>
    </w:p>
    <w:p w:rsidR="0076001D" w:rsidRDefault="0034129A">
      <w:pPr>
        <w:spacing w:after="0" w:line="259" w:lineRule="auto"/>
        <w:ind w:left="0" w:firstLine="0"/>
        <w:jc w:val="left"/>
      </w:pPr>
      <w:r>
        <w:rPr>
          <w:sz w:val="24"/>
        </w:rPr>
        <w:t xml:space="preserve"> </w:t>
      </w:r>
    </w:p>
    <w:p w:rsidR="0076001D" w:rsidRDefault="0034129A">
      <w:pPr>
        <w:spacing w:after="0" w:line="259" w:lineRule="auto"/>
        <w:ind w:left="0" w:firstLine="0"/>
        <w:jc w:val="left"/>
      </w:pPr>
      <w:r>
        <w:rPr>
          <w:sz w:val="24"/>
        </w:rPr>
        <w:t xml:space="preserve"> </w:t>
      </w:r>
    </w:p>
    <w:p w:rsidR="0076001D" w:rsidRDefault="0034129A">
      <w:pPr>
        <w:spacing w:after="115" w:line="259" w:lineRule="auto"/>
        <w:ind w:left="0" w:firstLine="0"/>
        <w:jc w:val="left"/>
      </w:pPr>
      <w:r>
        <w:rPr>
          <w:sz w:val="24"/>
        </w:rPr>
        <w:t xml:space="preserve"> </w:t>
      </w:r>
    </w:p>
    <w:p w:rsidR="0076001D" w:rsidRDefault="0034129A">
      <w:pPr>
        <w:pStyle w:val="Ttulo4"/>
        <w:ind w:left="538"/>
      </w:pPr>
      <w:r>
        <w:t xml:space="preserve">5.4.2.1 Seguimiento a Recomendaciones 2019 </w:t>
      </w:r>
    </w:p>
    <w:p w:rsidR="0076001D" w:rsidRDefault="0034129A">
      <w:pPr>
        <w:spacing w:after="0" w:line="259" w:lineRule="auto"/>
        <w:ind w:left="0" w:firstLine="0"/>
        <w:jc w:val="left"/>
      </w:pPr>
      <w:r>
        <w:rPr>
          <w:b/>
          <w:sz w:val="5"/>
        </w:rPr>
        <w:t xml:space="preserve"> </w:t>
      </w:r>
    </w:p>
    <w:tbl>
      <w:tblPr>
        <w:tblStyle w:val="TableGrid"/>
        <w:tblW w:w="10173" w:type="dxa"/>
        <w:tblInd w:w="164" w:type="dxa"/>
        <w:tblCellMar>
          <w:top w:w="6" w:type="dxa"/>
          <w:right w:w="48" w:type="dxa"/>
        </w:tblCellMar>
        <w:tblLook w:val="04A0" w:firstRow="1" w:lastRow="0" w:firstColumn="1" w:lastColumn="0" w:noHBand="0" w:noVBand="1"/>
      </w:tblPr>
      <w:tblGrid>
        <w:gridCol w:w="533"/>
        <w:gridCol w:w="4254"/>
        <w:gridCol w:w="711"/>
        <w:gridCol w:w="1639"/>
        <w:gridCol w:w="1119"/>
        <w:gridCol w:w="926"/>
        <w:gridCol w:w="506"/>
        <w:gridCol w:w="485"/>
      </w:tblGrid>
      <w:tr w:rsidR="0076001D">
        <w:trPr>
          <w:trHeight w:val="257"/>
        </w:trPr>
        <w:tc>
          <w:tcPr>
            <w:tcW w:w="53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7" w:firstLine="0"/>
              <w:jc w:val="left"/>
            </w:pPr>
            <w:r>
              <w:rPr>
                <w:b/>
                <w:sz w:val="20"/>
              </w:rPr>
              <w:t xml:space="preserve">N°. </w:t>
            </w:r>
          </w:p>
        </w:tc>
        <w:tc>
          <w:tcPr>
            <w:tcW w:w="4254"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51" w:firstLine="0"/>
              <w:jc w:val="center"/>
            </w:pPr>
            <w:r>
              <w:rPr>
                <w:b/>
                <w:sz w:val="20"/>
              </w:rPr>
              <w:t xml:space="preserve">OBSERVACIÓN </w:t>
            </w:r>
          </w:p>
        </w:tc>
        <w:tc>
          <w:tcPr>
            <w:tcW w:w="71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1639" w:type="dxa"/>
            <w:tcBorders>
              <w:top w:val="single" w:sz="4" w:space="0" w:color="000000"/>
              <w:left w:val="single" w:sz="4" w:space="0" w:color="000000"/>
              <w:bottom w:val="single" w:sz="4" w:space="0" w:color="000000"/>
              <w:right w:val="nil"/>
            </w:tcBorders>
            <w:shd w:val="clear" w:color="auto" w:fill="D0CECE"/>
          </w:tcPr>
          <w:p w:rsidR="0076001D" w:rsidRDefault="0076001D">
            <w:pPr>
              <w:spacing w:after="160" w:line="259" w:lineRule="auto"/>
              <w:ind w:left="0" w:firstLine="0"/>
              <w:jc w:val="left"/>
            </w:pPr>
          </w:p>
        </w:tc>
        <w:tc>
          <w:tcPr>
            <w:tcW w:w="2045" w:type="dxa"/>
            <w:gridSpan w:val="2"/>
            <w:tcBorders>
              <w:top w:val="single" w:sz="4" w:space="0" w:color="000000"/>
              <w:left w:val="nil"/>
              <w:bottom w:val="single" w:sz="4" w:space="0" w:color="000000"/>
              <w:right w:val="nil"/>
            </w:tcBorders>
            <w:shd w:val="clear" w:color="auto" w:fill="D0CECE"/>
          </w:tcPr>
          <w:p w:rsidR="0076001D" w:rsidRDefault="0034129A">
            <w:pPr>
              <w:spacing w:after="0" w:line="259" w:lineRule="auto"/>
              <w:ind w:left="0" w:firstLine="0"/>
              <w:jc w:val="left"/>
            </w:pPr>
            <w:r>
              <w:rPr>
                <w:b/>
                <w:sz w:val="20"/>
              </w:rPr>
              <w:t xml:space="preserve">SEGUIMIENTO </w:t>
            </w:r>
          </w:p>
        </w:tc>
        <w:tc>
          <w:tcPr>
            <w:tcW w:w="506" w:type="dxa"/>
            <w:tcBorders>
              <w:top w:val="single" w:sz="4" w:space="0" w:color="000000"/>
              <w:left w:val="nil"/>
              <w:bottom w:val="single" w:sz="4" w:space="0" w:color="000000"/>
              <w:right w:val="nil"/>
            </w:tcBorders>
            <w:shd w:val="clear" w:color="auto" w:fill="D0CECE"/>
          </w:tcPr>
          <w:p w:rsidR="0076001D" w:rsidRDefault="0076001D">
            <w:pPr>
              <w:spacing w:after="160" w:line="259" w:lineRule="auto"/>
              <w:ind w:left="0" w:firstLine="0"/>
              <w:jc w:val="left"/>
            </w:pPr>
          </w:p>
        </w:tc>
        <w:tc>
          <w:tcPr>
            <w:tcW w:w="485" w:type="dxa"/>
            <w:tcBorders>
              <w:top w:val="single" w:sz="4" w:space="0" w:color="000000"/>
              <w:left w:val="nil"/>
              <w:bottom w:val="single" w:sz="4" w:space="0" w:color="000000"/>
              <w:right w:val="single" w:sz="4" w:space="0" w:color="000000"/>
            </w:tcBorders>
            <w:shd w:val="clear" w:color="auto" w:fill="D0CECE"/>
          </w:tcPr>
          <w:p w:rsidR="0076001D" w:rsidRDefault="0076001D">
            <w:pPr>
              <w:spacing w:after="160" w:line="259" w:lineRule="auto"/>
              <w:ind w:left="0" w:firstLine="0"/>
              <w:jc w:val="left"/>
            </w:pPr>
          </w:p>
        </w:tc>
      </w:tr>
      <w:tr w:rsidR="0076001D">
        <w:trPr>
          <w:trHeight w:val="1163"/>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rPr>
              <w:t xml:space="preserve"> </w:t>
            </w:r>
          </w:p>
          <w:p w:rsidR="0076001D" w:rsidRDefault="0034129A">
            <w:pPr>
              <w:spacing w:after="2" w:line="259" w:lineRule="auto"/>
              <w:ind w:left="5" w:firstLine="0"/>
              <w:jc w:val="left"/>
            </w:pPr>
            <w:r>
              <w:rPr>
                <w:b/>
                <w:sz w:val="18"/>
              </w:rPr>
              <w:t xml:space="preserve"> </w:t>
            </w:r>
          </w:p>
          <w:p w:rsidR="0076001D" w:rsidRDefault="0034129A">
            <w:pPr>
              <w:spacing w:after="0" w:line="259" w:lineRule="auto"/>
              <w:ind w:left="48" w:firstLine="0"/>
              <w:jc w:val="left"/>
            </w:pPr>
            <w:r>
              <w:rPr>
                <w:sz w:val="20"/>
              </w:rPr>
              <w:t xml:space="preserve">1.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4" w:right="58" w:firstLine="0"/>
            </w:pPr>
            <w:r>
              <w:rPr>
                <w:sz w:val="20"/>
              </w:rPr>
              <w:t xml:space="preserve">Se debe configurar el sistema de tickets para que únicamente los usuarios registrados pueden crear solicitudes y así evitar posibles incidentes de seguridad o pérdida de tiempo de los agentes de soporte. </w:t>
            </w:r>
          </w:p>
        </w:tc>
        <w:tc>
          <w:tcPr>
            <w:tcW w:w="7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42" w:firstLine="0"/>
              <w:jc w:val="left"/>
            </w:pPr>
            <w:r>
              <w:rPr>
                <w:noProof/>
                <w:lang w:val="es-ES" w:eastAsia="es-ES"/>
              </w:rPr>
              <w:drawing>
                <wp:inline distT="0" distB="0" distL="0" distR="0">
                  <wp:extent cx="248920" cy="248831"/>
                  <wp:effectExtent l="0" t="0" r="0" b="0"/>
                  <wp:docPr id="21000" name="Picture 21000"/>
                  <wp:cNvGraphicFramePr/>
                  <a:graphic xmlns:a="http://schemas.openxmlformats.org/drawingml/2006/main">
                    <a:graphicData uri="http://schemas.openxmlformats.org/drawingml/2006/picture">
                      <pic:pic xmlns:pic="http://schemas.openxmlformats.org/drawingml/2006/picture">
                        <pic:nvPicPr>
                          <pic:cNvPr id="21000" name="Picture 21000"/>
                          <pic:cNvPicPr/>
                        </pic:nvPicPr>
                        <pic:blipFill>
                          <a:blip r:embed="rId188"/>
                          <a:stretch>
                            <a:fillRect/>
                          </a:stretch>
                        </pic:blipFill>
                        <pic:spPr>
                          <a:xfrm>
                            <a:off x="0" y="0"/>
                            <a:ext cx="248920" cy="248831"/>
                          </a:xfrm>
                          <a:prstGeom prst="rect">
                            <a:avLst/>
                          </a:prstGeom>
                        </pic:spPr>
                      </pic:pic>
                    </a:graphicData>
                  </a:graphic>
                </wp:inline>
              </w:drawing>
            </w:r>
          </w:p>
        </w:tc>
        <w:tc>
          <w:tcPr>
            <w:tcW w:w="1639" w:type="dxa"/>
            <w:tcBorders>
              <w:top w:val="single" w:sz="4" w:space="0" w:color="000000"/>
              <w:left w:val="single" w:sz="4" w:space="0" w:color="000000"/>
              <w:bottom w:val="single" w:sz="4" w:space="0" w:color="000000"/>
              <w:right w:val="nil"/>
            </w:tcBorders>
          </w:tcPr>
          <w:p w:rsidR="0076001D" w:rsidRDefault="0034129A">
            <w:pPr>
              <w:spacing w:after="0" w:line="259" w:lineRule="auto"/>
              <w:ind w:left="108" w:firstLine="0"/>
              <w:jc w:val="left"/>
            </w:pPr>
            <w:r>
              <w:rPr>
                <w:sz w:val="20"/>
              </w:rPr>
              <w:t xml:space="preserve">Aún </w:t>
            </w:r>
            <w:r>
              <w:rPr>
                <w:sz w:val="20"/>
              </w:rPr>
              <w:tab/>
              <w:t xml:space="preserve">no </w:t>
            </w:r>
            <w:r>
              <w:rPr>
                <w:sz w:val="20"/>
              </w:rPr>
              <w:tab/>
              <w:t xml:space="preserve">se recomendación. </w:t>
            </w:r>
          </w:p>
        </w:tc>
        <w:tc>
          <w:tcPr>
            <w:tcW w:w="1119" w:type="dxa"/>
            <w:tcBorders>
              <w:top w:val="single" w:sz="4" w:space="0" w:color="000000"/>
              <w:left w:val="nil"/>
              <w:bottom w:val="single" w:sz="4" w:space="0" w:color="000000"/>
              <w:right w:val="nil"/>
            </w:tcBorders>
          </w:tcPr>
          <w:p w:rsidR="0076001D" w:rsidRDefault="0034129A">
            <w:pPr>
              <w:spacing w:after="0" w:line="259" w:lineRule="auto"/>
              <w:ind w:left="108" w:firstLine="0"/>
              <w:jc w:val="left"/>
            </w:pPr>
            <w:r>
              <w:rPr>
                <w:sz w:val="20"/>
              </w:rPr>
              <w:t xml:space="preserve">muestra </w:t>
            </w:r>
          </w:p>
        </w:tc>
        <w:tc>
          <w:tcPr>
            <w:tcW w:w="926" w:type="dxa"/>
            <w:tcBorders>
              <w:top w:val="single" w:sz="4" w:space="0" w:color="000000"/>
              <w:left w:val="nil"/>
              <w:bottom w:val="single" w:sz="4" w:space="0" w:color="000000"/>
              <w:right w:val="nil"/>
            </w:tcBorders>
          </w:tcPr>
          <w:p w:rsidR="0076001D" w:rsidRDefault="0034129A">
            <w:pPr>
              <w:spacing w:after="0" w:line="259" w:lineRule="auto"/>
              <w:ind w:left="0" w:firstLine="0"/>
              <w:jc w:val="left"/>
            </w:pPr>
            <w:r>
              <w:rPr>
                <w:sz w:val="20"/>
              </w:rPr>
              <w:t xml:space="preserve">avance </w:t>
            </w:r>
          </w:p>
        </w:tc>
        <w:tc>
          <w:tcPr>
            <w:tcW w:w="506" w:type="dxa"/>
            <w:tcBorders>
              <w:top w:val="single" w:sz="4" w:space="0" w:color="000000"/>
              <w:left w:val="nil"/>
              <w:bottom w:val="single" w:sz="4" w:space="0" w:color="000000"/>
              <w:right w:val="nil"/>
            </w:tcBorders>
          </w:tcPr>
          <w:p w:rsidR="0076001D" w:rsidRDefault="0034129A">
            <w:pPr>
              <w:spacing w:after="0" w:line="259" w:lineRule="auto"/>
              <w:ind w:left="0" w:firstLine="0"/>
              <w:jc w:val="left"/>
            </w:pPr>
            <w:r>
              <w:rPr>
                <w:sz w:val="20"/>
              </w:rPr>
              <w:t xml:space="preserve">en </w:t>
            </w:r>
          </w:p>
        </w:tc>
        <w:tc>
          <w:tcPr>
            <w:tcW w:w="485" w:type="dxa"/>
            <w:tcBorders>
              <w:top w:val="single" w:sz="4" w:space="0" w:color="000000"/>
              <w:left w:val="nil"/>
              <w:bottom w:val="single" w:sz="4" w:space="0" w:color="000000"/>
              <w:right w:val="single" w:sz="4" w:space="0" w:color="000000"/>
            </w:tcBorders>
          </w:tcPr>
          <w:p w:rsidR="0076001D" w:rsidRDefault="0034129A">
            <w:pPr>
              <w:spacing w:after="0" w:line="259" w:lineRule="auto"/>
              <w:ind w:left="0" w:firstLine="0"/>
            </w:pPr>
            <w:r>
              <w:rPr>
                <w:sz w:val="20"/>
              </w:rPr>
              <w:t xml:space="preserve">esta </w:t>
            </w:r>
          </w:p>
        </w:tc>
      </w:tr>
      <w:tr w:rsidR="0076001D">
        <w:trPr>
          <w:trHeight w:val="2312"/>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rPr>
              <w:t xml:space="preserve"> </w:t>
            </w:r>
          </w:p>
          <w:p w:rsidR="0076001D" w:rsidRDefault="0034129A">
            <w:pPr>
              <w:spacing w:after="0" w:line="259" w:lineRule="auto"/>
              <w:ind w:left="5" w:firstLine="0"/>
              <w:jc w:val="left"/>
            </w:pPr>
            <w:r>
              <w:rPr>
                <w:b/>
              </w:rPr>
              <w:t xml:space="preserve"> </w:t>
            </w:r>
          </w:p>
          <w:p w:rsidR="0076001D" w:rsidRDefault="0034129A">
            <w:pPr>
              <w:spacing w:after="0" w:line="246" w:lineRule="auto"/>
              <w:ind w:left="5" w:right="414" w:firstLine="0"/>
              <w:jc w:val="left"/>
            </w:pPr>
            <w:r>
              <w:rPr>
                <w:b/>
              </w:rPr>
              <w:t xml:space="preserve"> </w:t>
            </w:r>
            <w:r>
              <w:rPr>
                <w:b/>
                <w:sz w:val="23"/>
              </w:rPr>
              <w:t xml:space="preserve"> </w:t>
            </w:r>
          </w:p>
          <w:p w:rsidR="0076001D" w:rsidRDefault="0034129A">
            <w:pPr>
              <w:spacing w:after="0" w:line="259" w:lineRule="auto"/>
              <w:ind w:left="48" w:firstLine="0"/>
              <w:jc w:val="left"/>
            </w:pPr>
            <w:r>
              <w:rPr>
                <w:sz w:val="20"/>
              </w:rPr>
              <w:t xml:space="preserve">2.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4" w:right="54" w:firstLine="0"/>
            </w:pPr>
            <w:r>
              <w:rPr>
                <w:sz w:val="20"/>
              </w:rPr>
              <w:t xml:space="preserve">Centralizar y clasificar todos los soportes relacionados con los sistemas y plataforma tecnológica del IDEP, incluyendo los sistemas de información y configurar el direccionamiento de estos soportes a los proveedores de los mismos, con el objeto de poder generar indicadores de todos los servicios y soportes del área y sus proveedores, incluyendo el cumplimiento de ANS. </w:t>
            </w:r>
          </w:p>
        </w:tc>
        <w:tc>
          <w:tcPr>
            <w:tcW w:w="7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sz w:val="20"/>
              </w:rPr>
              <w:t xml:space="preserve"> </w:t>
            </w:r>
          </w:p>
          <w:p w:rsidR="0076001D" w:rsidRDefault="0034129A">
            <w:pPr>
              <w:spacing w:after="0" w:line="259" w:lineRule="auto"/>
              <w:ind w:left="142" w:firstLine="0"/>
              <w:jc w:val="left"/>
            </w:pPr>
            <w:r>
              <w:rPr>
                <w:noProof/>
                <w:lang w:val="es-ES" w:eastAsia="es-ES"/>
              </w:rPr>
              <w:drawing>
                <wp:inline distT="0" distB="0" distL="0" distR="0">
                  <wp:extent cx="248920" cy="248831"/>
                  <wp:effectExtent l="0" t="0" r="0" b="0"/>
                  <wp:docPr id="21002" name="Picture 21002"/>
                  <wp:cNvGraphicFramePr/>
                  <a:graphic xmlns:a="http://schemas.openxmlformats.org/drawingml/2006/main">
                    <a:graphicData uri="http://schemas.openxmlformats.org/drawingml/2006/picture">
                      <pic:pic xmlns:pic="http://schemas.openxmlformats.org/drawingml/2006/picture">
                        <pic:nvPicPr>
                          <pic:cNvPr id="21002" name="Picture 21002"/>
                          <pic:cNvPicPr/>
                        </pic:nvPicPr>
                        <pic:blipFill>
                          <a:blip r:embed="rId188"/>
                          <a:stretch>
                            <a:fillRect/>
                          </a:stretch>
                        </pic:blipFill>
                        <pic:spPr>
                          <a:xfrm>
                            <a:off x="0" y="0"/>
                            <a:ext cx="248920" cy="248831"/>
                          </a:xfrm>
                          <a:prstGeom prst="rect">
                            <a:avLst/>
                          </a:prstGeom>
                        </pic:spPr>
                      </pic:pic>
                    </a:graphicData>
                  </a:graphic>
                </wp:inline>
              </w:drawing>
            </w:r>
          </w:p>
        </w:tc>
        <w:tc>
          <w:tcPr>
            <w:tcW w:w="1639" w:type="dxa"/>
            <w:tcBorders>
              <w:top w:val="single" w:sz="4" w:space="0" w:color="000000"/>
              <w:left w:val="single" w:sz="4" w:space="0" w:color="000000"/>
              <w:bottom w:val="single" w:sz="4" w:space="0" w:color="000000"/>
              <w:right w:val="nil"/>
            </w:tcBorders>
          </w:tcPr>
          <w:p w:rsidR="0076001D" w:rsidRDefault="0034129A">
            <w:pPr>
              <w:spacing w:after="0" w:line="259" w:lineRule="auto"/>
              <w:ind w:left="108" w:firstLine="0"/>
              <w:jc w:val="left"/>
            </w:pPr>
            <w:r>
              <w:rPr>
                <w:sz w:val="20"/>
              </w:rPr>
              <w:t xml:space="preserve">Aún </w:t>
            </w:r>
            <w:r>
              <w:rPr>
                <w:sz w:val="20"/>
              </w:rPr>
              <w:tab/>
              <w:t xml:space="preserve">no </w:t>
            </w:r>
            <w:r>
              <w:rPr>
                <w:sz w:val="20"/>
              </w:rPr>
              <w:tab/>
              <w:t xml:space="preserve">se recomendación. </w:t>
            </w:r>
          </w:p>
        </w:tc>
        <w:tc>
          <w:tcPr>
            <w:tcW w:w="1119" w:type="dxa"/>
            <w:tcBorders>
              <w:top w:val="single" w:sz="4" w:space="0" w:color="000000"/>
              <w:left w:val="nil"/>
              <w:bottom w:val="single" w:sz="4" w:space="0" w:color="000000"/>
              <w:right w:val="nil"/>
            </w:tcBorders>
          </w:tcPr>
          <w:p w:rsidR="0076001D" w:rsidRDefault="0034129A">
            <w:pPr>
              <w:spacing w:after="0" w:line="259" w:lineRule="auto"/>
              <w:ind w:left="108" w:firstLine="0"/>
              <w:jc w:val="left"/>
            </w:pPr>
            <w:r>
              <w:rPr>
                <w:sz w:val="20"/>
              </w:rPr>
              <w:t xml:space="preserve">muestra </w:t>
            </w:r>
          </w:p>
        </w:tc>
        <w:tc>
          <w:tcPr>
            <w:tcW w:w="926" w:type="dxa"/>
            <w:tcBorders>
              <w:top w:val="single" w:sz="4" w:space="0" w:color="000000"/>
              <w:left w:val="nil"/>
              <w:bottom w:val="single" w:sz="4" w:space="0" w:color="000000"/>
              <w:right w:val="nil"/>
            </w:tcBorders>
          </w:tcPr>
          <w:p w:rsidR="0076001D" w:rsidRDefault="0034129A">
            <w:pPr>
              <w:spacing w:after="0" w:line="259" w:lineRule="auto"/>
              <w:ind w:left="0" w:firstLine="0"/>
              <w:jc w:val="left"/>
            </w:pPr>
            <w:r>
              <w:rPr>
                <w:sz w:val="20"/>
              </w:rPr>
              <w:t xml:space="preserve">avance </w:t>
            </w:r>
          </w:p>
        </w:tc>
        <w:tc>
          <w:tcPr>
            <w:tcW w:w="506" w:type="dxa"/>
            <w:tcBorders>
              <w:top w:val="single" w:sz="4" w:space="0" w:color="000000"/>
              <w:left w:val="nil"/>
              <w:bottom w:val="single" w:sz="4" w:space="0" w:color="000000"/>
              <w:right w:val="nil"/>
            </w:tcBorders>
          </w:tcPr>
          <w:p w:rsidR="0076001D" w:rsidRDefault="0034129A">
            <w:pPr>
              <w:spacing w:after="0" w:line="259" w:lineRule="auto"/>
              <w:ind w:left="0" w:firstLine="0"/>
              <w:jc w:val="left"/>
            </w:pPr>
            <w:r>
              <w:rPr>
                <w:sz w:val="20"/>
              </w:rPr>
              <w:t xml:space="preserve">en </w:t>
            </w:r>
          </w:p>
        </w:tc>
        <w:tc>
          <w:tcPr>
            <w:tcW w:w="485" w:type="dxa"/>
            <w:tcBorders>
              <w:top w:val="single" w:sz="4" w:space="0" w:color="000000"/>
              <w:left w:val="nil"/>
              <w:bottom w:val="single" w:sz="4" w:space="0" w:color="000000"/>
              <w:right w:val="single" w:sz="4" w:space="0" w:color="000000"/>
            </w:tcBorders>
          </w:tcPr>
          <w:p w:rsidR="0076001D" w:rsidRDefault="0034129A">
            <w:pPr>
              <w:spacing w:after="0" w:line="259" w:lineRule="auto"/>
              <w:ind w:left="0" w:firstLine="0"/>
            </w:pPr>
            <w:r>
              <w:rPr>
                <w:sz w:val="20"/>
              </w:rPr>
              <w:t xml:space="preserve">esta </w:t>
            </w:r>
          </w:p>
        </w:tc>
      </w:tr>
      <w:tr w:rsidR="0076001D">
        <w:trPr>
          <w:trHeight w:val="1387"/>
        </w:trPr>
        <w:tc>
          <w:tcPr>
            <w:tcW w:w="532" w:type="dxa"/>
            <w:tcBorders>
              <w:top w:val="single" w:sz="4" w:space="0" w:color="000000"/>
              <w:left w:val="single" w:sz="4" w:space="0" w:color="000000"/>
              <w:bottom w:val="single" w:sz="4" w:space="0" w:color="000000"/>
              <w:right w:val="single" w:sz="4" w:space="0" w:color="000000"/>
            </w:tcBorders>
          </w:tcPr>
          <w:p w:rsidR="0076001D" w:rsidRDefault="0034129A">
            <w:pPr>
              <w:spacing w:after="33" w:line="259" w:lineRule="auto"/>
              <w:ind w:left="5" w:firstLine="0"/>
              <w:jc w:val="left"/>
            </w:pPr>
            <w:r>
              <w:rPr>
                <w:b/>
              </w:rPr>
              <w:t xml:space="preserve"> </w:t>
            </w:r>
          </w:p>
          <w:p w:rsidR="0076001D" w:rsidRDefault="0034129A">
            <w:pPr>
              <w:spacing w:after="0" w:line="259" w:lineRule="auto"/>
              <w:ind w:left="5" w:firstLine="0"/>
              <w:jc w:val="left"/>
            </w:pPr>
            <w:r>
              <w:rPr>
                <w:b/>
                <w:sz w:val="27"/>
              </w:rPr>
              <w:t xml:space="preserve"> </w:t>
            </w:r>
          </w:p>
          <w:p w:rsidR="0076001D" w:rsidRDefault="0034129A">
            <w:pPr>
              <w:spacing w:after="0" w:line="259" w:lineRule="auto"/>
              <w:ind w:left="48" w:firstLine="0"/>
              <w:jc w:val="left"/>
            </w:pPr>
            <w:r>
              <w:rPr>
                <w:sz w:val="20"/>
              </w:rPr>
              <w:t xml:space="preserve">3. </w:t>
            </w:r>
          </w:p>
        </w:tc>
        <w:tc>
          <w:tcPr>
            <w:tcW w:w="4254"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14" w:right="58" w:firstLine="0"/>
            </w:pPr>
            <w:r>
              <w:rPr>
                <w:sz w:val="20"/>
              </w:rPr>
              <w:t xml:space="preserve">Se recomienda revisar los siguientes criterios para la configuración de la herramienta de tickets y o la implementación de una nueva herramienta gratuita y de código abierto como el GLPI: </w:t>
            </w:r>
          </w:p>
        </w:tc>
        <w:tc>
          <w:tcPr>
            <w:tcW w:w="71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b/>
                <w:sz w:val="20"/>
              </w:rPr>
              <w:t xml:space="preserve"> </w:t>
            </w:r>
          </w:p>
          <w:p w:rsidR="0076001D" w:rsidRDefault="0034129A">
            <w:pPr>
              <w:spacing w:after="0" w:line="259" w:lineRule="auto"/>
              <w:ind w:left="142" w:firstLine="0"/>
              <w:jc w:val="left"/>
            </w:pPr>
            <w:r>
              <w:rPr>
                <w:noProof/>
                <w:lang w:val="es-ES" w:eastAsia="es-ES"/>
              </w:rPr>
              <w:drawing>
                <wp:inline distT="0" distB="0" distL="0" distR="0">
                  <wp:extent cx="248920" cy="248831"/>
                  <wp:effectExtent l="0" t="0" r="0" b="0"/>
                  <wp:docPr id="21004" name="Picture 21004"/>
                  <wp:cNvGraphicFramePr/>
                  <a:graphic xmlns:a="http://schemas.openxmlformats.org/drawingml/2006/main">
                    <a:graphicData uri="http://schemas.openxmlformats.org/drawingml/2006/picture">
                      <pic:pic xmlns:pic="http://schemas.openxmlformats.org/drawingml/2006/picture">
                        <pic:nvPicPr>
                          <pic:cNvPr id="21004" name="Picture 21004"/>
                          <pic:cNvPicPr/>
                        </pic:nvPicPr>
                        <pic:blipFill>
                          <a:blip r:embed="rId188"/>
                          <a:stretch>
                            <a:fillRect/>
                          </a:stretch>
                        </pic:blipFill>
                        <pic:spPr>
                          <a:xfrm>
                            <a:off x="0" y="0"/>
                            <a:ext cx="248920" cy="248831"/>
                          </a:xfrm>
                          <a:prstGeom prst="rect">
                            <a:avLst/>
                          </a:prstGeom>
                        </pic:spPr>
                      </pic:pic>
                    </a:graphicData>
                  </a:graphic>
                </wp:inline>
              </w:drawing>
            </w:r>
            <w:r>
              <w:rPr>
                <w:sz w:val="20"/>
              </w:rPr>
              <w:t xml:space="preserve"> </w:t>
            </w:r>
          </w:p>
        </w:tc>
        <w:tc>
          <w:tcPr>
            <w:tcW w:w="1639" w:type="dxa"/>
            <w:tcBorders>
              <w:top w:val="single" w:sz="4" w:space="0" w:color="000000"/>
              <w:left w:val="single" w:sz="4" w:space="0" w:color="000000"/>
              <w:bottom w:val="single" w:sz="4" w:space="0" w:color="000000"/>
              <w:right w:val="nil"/>
            </w:tcBorders>
          </w:tcPr>
          <w:p w:rsidR="0076001D" w:rsidRDefault="0034129A">
            <w:pPr>
              <w:spacing w:after="0" w:line="259" w:lineRule="auto"/>
              <w:ind w:left="108" w:firstLine="0"/>
              <w:jc w:val="left"/>
            </w:pPr>
            <w:r>
              <w:rPr>
                <w:sz w:val="20"/>
              </w:rPr>
              <w:t xml:space="preserve">Aún </w:t>
            </w:r>
            <w:r>
              <w:rPr>
                <w:sz w:val="20"/>
              </w:rPr>
              <w:tab/>
              <w:t xml:space="preserve">no </w:t>
            </w:r>
            <w:r>
              <w:rPr>
                <w:sz w:val="20"/>
              </w:rPr>
              <w:tab/>
              <w:t xml:space="preserve">se recomendación. </w:t>
            </w:r>
          </w:p>
        </w:tc>
        <w:tc>
          <w:tcPr>
            <w:tcW w:w="2045" w:type="dxa"/>
            <w:gridSpan w:val="2"/>
            <w:tcBorders>
              <w:top w:val="single" w:sz="4" w:space="0" w:color="000000"/>
              <w:left w:val="nil"/>
              <w:bottom w:val="single" w:sz="4" w:space="0" w:color="000000"/>
              <w:right w:val="nil"/>
            </w:tcBorders>
          </w:tcPr>
          <w:p w:rsidR="0076001D" w:rsidRDefault="0034129A">
            <w:pPr>
              <w:tabs>
                <w:tab w:val="center" w:pos="1441"/>
              </w:tabs>
              <w:spacing w:after="0" w:line="259" w:lineRule="auto"/>
              <w:ind w:left="0" w:firstLine="0"/>
              <w:jc w:val="left"/>
            </w:pPr>
            <w:r>
              <w:rPr>
                <w:sz w:val="20"/>
              </w:rPr>
              <w:t xml:space="preserve">muestra </w:t>
            </w:r>
            <w:r>
              <w:rPr>
                <w:sz w:val="20"/>
              </w:rPr>
              <w:tab/>
              <w:t xml:space="preserve">avance </w:t>
            </w:r>
          </w:p>
        </w:tc>
        <w:tc>
          <w:tcPr>
            <w:tcW w:w="506" w:type="dxa"/>
            <w:tcBorders>
              <w:top w:val="single" w:sz="4" w:space="0" w:color="000000"/>
              <w:left w:val="nil"/>
              <w:bottom w:val="single" w:sz="4" w:space="0" w:color="000000"/>
              <w:right w:val="nil"/>
            </w:tcBorders>
          </w:tcPr>
          <w:p w:rsidR="0076001D" w:rsidRDefault="0034129A">
            <w:pPr>
              <w:spacing w:after="0" w:line="259" w:lineRule="auto"/>
              <w:ind w:left="0" w:firstLine="0"/>
              <w:jc w:val="left"/>
            </w:pPr>
            <w:r>
              <w:rPr>
                <w:sz w:val="20"/>
              </w:rPr>
              <w:t xml:space="preserve">en </w:t>
            </w:r>
          </w:p>
        </w:tc>
        <w:tc>
          <w:tcPr>
            <w:tcW w:w="485" w:type="dxa"/>
            <w:tcBorders>
              <w:top w:val="single" w:sz="4" w:space="0" w:color="000000"/>
              <w:left w:val="nil"/>
              <w:bottom w:val="single" w:sz="4" w:space="0" w:color="000000"/>
              <w:right w:val="single" w:sz="4" w:space="0" w:color="000000"/>
            </w:tcBorders>
          </w:tcPr>
          <w:p w:rsidR="0076001D" w:rsidRDefault="0034129A">
            <w:pPr>
              <w:spacing w:after="0" w:line="259" w:lineRule="auto"/>
              <w:ind w:left="0" w:firstLine="0"/>
            </w:pPr>
            <w:r>
              <w:rPr>
                <w:sz w:val="20"/>
              </w:rPr>
              <w:t xml:space="preserve">esta </w:t>
            </w:r>
          </w:p>
        </w:tc>
      </w:tr>
    </w:tbl>
    <w:p w:rsidR="0076001D" w:rsidRDefault="0034129A">
      <w:pPr>
        <w:spacing w:after="0" w:line="259" w:lineRule="auto"/>
        <w:ind w:left="0" w:firstLine="0"/>
        <w:jc w:val="left"/>
      </w:pPr>
      <w:r>
        <w:rPr>
          <w:b/>
        </w:rPr>
        <w:t xml:space="preserve"> </w:t>
      </w:r>
    </w:p>
    <w:tbl>
      <w:tblPr>
        <w:tblStyle w:val="TableGrid"/>
        <w:tblW w:w="10173" w:type="dxa"/>
        <w:tblInd w:w="164" w:type="dxa"/>
        <w:tblCellMar>
          <w:top w:w="6" w:type="dxa"/>
          <w:right w:w="46" w:type="dxa"/>
        </w:tblCellMar>
        <w:tblLook w:val="04A0" w:firstRow="1" w:lastRow="0" w:firstColumn="1" w:lastColumn="0" w:noHBand="0" w:noVBand="1"/>
      </w:tblPr>
      <w:tblGrid>
        <w:gridCol w:w="532"/>
        <w:gridCol w:w="474"/>
        <w:gridCol w:w="3781"/>
        <w:gridCol w:w="711"/>
        <w:gridCol w:w="4675"/>
      </w:tblGrid>
      <w:tr w:rsidR="0076001D">
        <w:trPr>
          <w:trHeight w:val="257"/>
        </w:trPr>
        <w:tc>
          <w:tcPr>
            <w:tcW w:w="53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27" w:firstLine="0"/>
              <w:jc w:val="left"/>
            </w:pPr>
            <w:r>
              <w:rPr>
                <w:b/>
                <w:sz w:val="20"/>
              </w:rPr>
              <w:lastRenderedPageBreak/>
              <w:t xml:space="preserve">N°. </w:t>
            </w:r>
          </w:p>
        </w:tc>
        <w:tc>
          <w:tcPr>
            <w:tcW w:w="474" w:type="dxa"/>
            <w:tcBorders>
              <w:top w:val="single" w:sz="4" w:space="0" w:color="000000"/>
              <w:left w:val="single" w:sz="4" w:space="0" w:color="000000"/>
              <w:bottom w:val="single" w:sz="4" w:space="0" w:color="000000"/>
              <w:right w:val="nil"/>
            </w:tcBorders>
            <w:shd w:val="clear" w:color="auto" w:fill="D0CECE"/>
          </w:tcPr>
          <w:p w:rsidR="0076001D" w:rsidRDefault="0076001D">
            <w:pPr>
              <w:spacing w:after="160" w:line="259" w:lineRule="auto"/>
              <w:ind w:left="0" w:firstLine="0"/>
              <w:jc w:val="left"/>
            </w:pPr>
          </w:p>
        </w:tc>
        <w:tc>
          <w:tcPr>
            <w:tcW w:w="3781" w:type="dxa"/>
            <w:tcBorders>
              <w:top w:val="single" w:sz="4" w:space="0" w:color="000000"/>
              <w:left w:val="nil"/>
              <w:bottom w:val="single" w:sz="4" w:space="0" w:color="000000"/>
              <w:right w:val="single" w:sz="4" w:space="0" w:color="000000"/>
            </w:tcBorders>
            <w:shd w:val="clear" w:color="auto" w:fill="D0CECE"/>
          </w:tcPr>
          <w:p w:rsidR="0076001D" w:rsidRDefault="0034129A">
            <w:pPr>
              <w:spacing w:after="0" w:line="259" w:lineRule="auto"/>
              <w:ind w:left="912" w:firstLine="0"/>
              <w:jc w:val="left"/>
            </w:pPr>
            <w:r>
              <w:rPr>
                <w:b/>
                <w:sz w:val="20"/>
              </w:rPr>
              <w:t xml:space="preserve">OBSERVACIÓN </w:t>
            </w:r>
          </w:p>
        </w:tc>
        <w:tc>
          <w:tcPr>
            <w:tcW w:w="71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4676"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46" w:firstLine="0"/>
              <w:jc w:val="center"/>
            </w:pPr>
            <w:r>
              <w:rPr>
                <w:b/>
                <w:sz w:val="20"/>
              </w:rPr>
              <w:t xml:space="preserve">SEGUIMIENTO </w:t>
            </w:r>
          </w:p>
        </w:tc>
      </w:tr>
      <w:tr w:rsidR="0076001D">
        <w:trPr>
          <w:trHeight w:val="1410"/>
        </w:trPr>
        <w:tc>
          <w:tcPr>
            <w:tcW w:w="532" w:type="dxa"/>
            <w:tcBorders>
              <w:top w:val="single" w:sz="4" w:space="0" w:color="000000"/>
              <w:left w:val="single" w:sz="4" w:space="0" w:color="000000"/>
              <w:bottom w:val="nil"/>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474" w:type="dxa"/>
            <w:tcBorders>
              <w:top w:val="single" w:sz="4" w:space="0" w:color="000000"/>
              <w:left w:val="single" w:sz="4" w:space="0" w:color="000000"/>
              <w:bottom w:val="nil"/>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single" w:sz="4" w:space="0" w:color="000000"/>
              <w:left w:val="nil"/>
              <w:bottom w:val="nil"/>
              <w:right w:val="single" w:sz="4" w:space="0" w:color="000000"/>
            </w:tcBorders>
          </w:tcPr>
          <w:p w:rsidR="0076001D" w:rsidRDefault="0034129A">
            <w:pPr>
              <w:spacing w:after="0" w:line="259" w:lineRule="auto"/>
              <w:ind w:left="0" w:right="60" w:firstLine="0"/>
            </w:pPr>
            <w:r>
              <w:rPr>
                <w:sz w:val="20"/>
              </w:rPr>
              <w:t xml:space="preserve">Que permita configurar diferentes tipos de solicitudes hasta mínimo dos niveles jerárquicos: incidentes soporte, requerimientos de desarrollo, incidentes de seguridad, requisitos de adquisiciones de software o hardware, propuestas, etc. </w:t>
            </w:r>
          </w:p>
        </w:tc>
        <w:tc>
          <w:tcPr>
            <w:tcW w:w="711" w:type="dxa"/>
            <w:tcBorders>
              <w:top w:val="single" w:sz="4" w:space="0" w:color="000000"/>
              <w:left w:val="single" w:sz="4" w:space="0" w:color="000000"/>
              <w:bottom w:val="nil"/>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c>
          <w:tcPr>
            <w:tcW w:w="4676" w:type="dxa"/>
            <w:tcBorders>
              <w:top w:val="single" w:sz="4" w:space="0" w:color="000000"/>
              <w:left w:val="single" w:sz="4" w:space="0" w:color="000000"/>
              <w:bottom w:val="nil"/>
              <w:right w:val="single" w:sz="4" w:space="0" w:color="000000"/>
            </w:tcBorders>
          </w:tcPr>
          <w:p w:rsidR="0076001D" w:rsidRDefault="0034129A">
            <w:pPr>
              <w:spacing w:after="0" w:line="259" w:lineRule="auto"/>
              <w:ind w:left="5" w:firstLine="0"/>
              <w:jc w:val="left"/>
            </w:pPr>
            <w:r>
              <w:rPr>
                <w:rFonts w:ascii="Times New Roman" w:eastAsia="Times New Roman" w:hAnsi="Times New Roman" w:cs="Times New Roman"/>
                <w:sz w:val="18"/>
              </w:rPr>
              <w:t xml:space="preserve"> </w:t>
            </w:r>
          </w:p>
        </w:tc>
      </w:tr>
      <w:tr w:rsidR="0076001D">
        <w:trPr>
          <w:trHeight w:val="1154"/>
        </w:trPr>
        <w:tc>
          <w:tcPr>
            <w:tcW w:w="532"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nil"/>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nil"/>
              <w:right w:val="single" w:sz="4" w:space="0" w:color="000000"/>
            </w:tcBorders>
          </w:tcPr>
          <w:p w:rsidR="0076001D" w:rsidRDefault="0034129A">
            <w:pPr>
              <w:spacing w:after="0" w:line="238" w:lineRule="auto"/>
              <w:ind w:left="0" w:right="59" w:firstLine="0"/>
            </w:pPr>
            <w:r>
              <w:rPr>
                <w:sz w:val="20"/>
              </w:rPr>
              <w:t xml:space="preserve">Que permita configurar diferentes agentes de atención externos e internos clasificados por Agentes internos TIC, Agentes internos de negocio, agentes </w:t>
            </w:r>
          </w:p>
          <w:p w:rsidR="0076001D" w:rsidRDefault="0034129A">
            <w:pPr>
              <w:spacing w:after="0" w:line="259" w:lineRule="auto"/>
              <w:ind w:left="0" w:firstLine="0"/>
              <w:jc w:val="left"/>
            </w:pPr>
            <w:r>
              <w:rPr>
                <w:sz w:val="20"/>
              </w:rPr>
              <w:t xml:space="preserve">externos proveedores </w:t>
            </w:r>
          </w:p>
        </w:tc>
        <w:tc>
          <w:tcPr>
            <w:tcW w:w="711"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707"/>
        </w:trPr>
        <w:tc>
          <w:tcPr>
            <w:tcW w:w="532"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nil"/>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nil"/>
              <w:right w:val="single" w:sz="4" w:space="0" w:color="000000"/>
            </w:tcBorders>
          </w:tcPr>
          <w:p w:rsidR="0076001D" w:rsidRDefault="0034129A">
            <w:pPr>
              <w:spacing w:after="0" w:line="259" w:lineRule="auto"/>
              <w:ind w:left="0" w:right="61" w:firstLine="0"/>
            </w:pPr>
            <w:r>
              <w:rPr>
                <w:sz w:val="20"/>
              </w:rPr>
              <w:t xml:space="preserve">Que permita establecer ANS de acuerdo con la tipología de solicitudes y de agentes </w:t>
            </w:r>
          </w:p>
        </w:tc>
        <w:tc>
          <w:tcPr>
            <w:tcW w:w="711"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1164"/>
        </w:trPr>
        <w:tc>
          <w:tcPr>
            <w:tcW w:w="532"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nil"/>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nil"/>
              <w:right w:val="single" w:sz="4" w:space="0" w:color="000000"/>
            </w:tcBorders>
          </w:tcPr>
          <w:p w:rsidR="0076001D" w:rsidRDefault="0034129A">
            <w:pPr>
              <w:spacing w:after="0" w:line="259" w:lineRule="auto"/>
              <w:ind w:left="0" w:right="55" w:firstLine="0"/>
            </w:pPr>
            <w:r>
              <w:rPr>
                <w:sz w:val="20"/>
              </w:rPr>
              <w:t xml:space="preserve">Que permita una relación jerárquica entre solicitudes para aquellos casos en que una solicitud se segrega en varias tareas y de su cumplimiento dependa el estado de atención de la solicitud original </w:t>
            </w:r>
          </w:p>
        </w:tc>
        <w:tc>
          <w:tcPr>
            <w:tcW w:w="711"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2084"/>
        </w:trPr>
        <w:tc>
          <w:tcPr>
            <w:tcW w:w="532"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nil"/>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nil"/>
              <w:right w:val="single" w:sz="4" w:space="0" w:color="000000"/>
            </w:tcBorders>
          </w:tcPr>
          <w:p w:rsidR="0076001D" w:rsidRDefault="0034129A">
            <w:pPr>
              <w:spacing w:after="0" w:line="259" w:lineRule="auto"/>
              <w:ind w:left="0" w:right="57" w:firstLine="0"/>
            </w:pPr>
            <w:r>
              <w:rPr>
                <w:sz w:val="20"/>
              </w:rPr>
              <w:t xml:space="preserve">Que permita instalar un agente en los PC para que todas las solicitudes sean gestionadas por este medio con el fin de eliminar la carga operativa de la digitación de llamadas y correos y el riesgo de error humano. Adicionalmente la centralización de la información optimiza los tiempos de atención y la obtención de información estadística </w:t>
            </w:r>
          </w:p>
        </w:tc>
        <w:tc>
          <w:tcPr>
            <w:tcW w:w="711"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472"/>
        </w:trPr>
        <w:tc>
          <w:tcPr>
            <w:tcW w:w="532"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nil"/>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nil"/>
              <w:right w:val="single" w:sz="4" w:space="0" w:color="000000"/>
            </w:tcBorders>
          </w:tcPr>
          <w:p w:rsidR="0076001D" w:rsidRDefault="0034129A">
            <w:pPr>
              <w:tabs>
                <w:tab w:val="center" w:pos="983"/>
                <w:tab w:val="center" w:pos="1936"/>
                <w:tab w:val="center" w:pos="2923"/>
                <w:tab w:val="right" w:pos="3735"/>
              </w:tabs>
              <w:spacing w:after="0" w:line="259" w:lineRule="auto"/>
              <w:ind w:left="0" w:firstLine="0"/>
              <w:jc w:val="left"/>
            </w:pPr>
            <w:r>
              <w:rPr>
                <w:sz w:val="20"/>
              </w:rPr>
              <w:t xml:space="preserve">Que </w:t>
            </w:r>
            <w:r>
              <w:rPr>
                <w:sz w:val="20"/>
              </w:rPr>
              <w:tab/>
              <w:t xml:space="preserve">permita </w:t>
            </w:r>
            <w:r>
              <w:rPr>
                <w:sz w:val="20"/>
              </w:rPr>
              <w:tab/>
              <w:t xml:space="preserve">generar </w:t>
            </w:r>
            <w:r>
              <w:rPr>
                <w:sz w:val="20"/>
              </w:rPr>
              <w:tab/>
              <w:t xml:space="preserve">reportes </w:t>
            </w:r>
            <w:r>
              <w:rPr>
                <w:sz w:val="20"/>
              </w:rPr>
              <w:tab/>
              <w:t xml:space="preserve">e </w:t>
            </w:r>
          </w:p>
          <w:p w:rsidR="0076001D" w:rsidRDefault="0034129A">
            <w:pPr>
              <w:spacing w:after="0" w:line="259" w:lineRule="auto"/>
              <w:ind w:left="0" w:firstLine="0"/>
              <w:jc w:val="left"/>
            </w:pPr>
            <w:r>
              <w:rPr>
                <w:sz w:val="20"/>
              </w:rPr>
              <w:t xml:space="preserve">indicadores de gestión </w:t>
            </w:r>
          </w:p>
        </w:tc>
        <w:tc>
          <w:tcPr>
            <w:tcW w:w="711"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700"/>
        </w:trPr>
        <w:tc>
          <w:tcPr>
            <w:tcW w:w="532"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nil"/>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nil"/>
              <w:right w:val="single" w:sz="4" w:space="0" w:color="000000"/>
            </w:tcBorders>
          </w:tcPr>
          <w:p w:rsidR="0076001D" w:rsidRDefault="0034129A">
            <w:pPr>
              <w:spacing w:after="0" w:line="259" w:lineRule="auto"/>
              <w:ind w:left="0" w:right="59" w:firstLine="0"/>
            </w:pPr>
            <w:r>
              <w:rPr>
                <w:sz w:val="20"/>
              </w:rPr>
              <w:t xml:space="preserve">Que permita instalar agente de escaneo de red para llevar la trazabilidad entre solicitud, usuario y equipo </w:t>
            </w:r>
          </w:p>
        </w:tc>
        <w:tc>
          <w:tcPr>
            <w:tcW w:w="711"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696"/>
        </w:trPr>
        <w:tc>
          <w:tcPr>
            <w:tcW w:w="532"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nil"/>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nil"/>
              <w:right w:val="single" w:sz="4" w:space="0" w:color="000000"/>
            </w:tcBorders>
          </w:tcPr>
          <w:p w:rsidR="0076001D" w:rsidRDefault="0034129A">
            <w:pPr>
              <w:spacing w:after="0" w:line="259" w:lineRule="auto"/>
              <w:ind w:left="0" w:right="60" w:firstLine="0"/>
            </w:pPr>
            <w:r>
              <w:rPr>
                <w:sz w:val="20"/>
              </w:rPr>
              <w:t xml:space="preserve">Que permita adjuntar archivos tanto a la solicitud principal como a las tareas de la bitácora de atención </w:t>
            </w:r>
          </w:p>
        </w:tc>
        <w:tc>
          <w:tcPr>
            <w:tcW w:w="711"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245"/>
        </w:trPr>
        <w:tc>
          <w:tcPr>
            <w:tcW w:w="532"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nil"/>
              <w:right w:val="nil"/>
            </w:tcBorders>
          </w:tcPr>
          <w:p w:rsidR="0076001D" w:rsidRDefault="0034129A">
            <w:pPr>
              <w:spacing w:after="0" w:line="259" w:lineRule="auto"/>
              <w:ind w:left="112"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nil"/>
              <w:right w:val="single" w:sz="4" w:space="0" w:color="000000"/>
            </w:tcBorders>
          </w:tcPr>
          <w:p w:rsidR="0076001D" w:rsidRDefault="0034129A">
            <w:pPr>
              <w:spacing w:after="0" w:line="259" w:lineRule="auto"/>
              <w:ind w:left="0" w:firstLine="0"/>
              <w:jc w:val="left"/>
            </w:pPr>
            <w:r>
              <w:rPr>
                <w:sz w:val="20"/>
              </w:rPr>
              <w:t xml:space="preserve">Que permita aplicar escalamientos. </w:t>
            </w:r>
          </w:p>
        </w:tc>
        <w:tc>
          <w:tcPr>
            <w:tcW w:w="711"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nil"/>
              <w:right w:val="single" w:sz="4" w:space="0" w:color="000000"/>
            </w:tcBorders>
          </w:tcPr>
          <w:p w:rsidR="0076001D" w:rsidRDefault="0076001D">
            <w:pPr>
              <w:spacing w:after="160" w:line="259" w:lineRule="auto"/>
              <w:ind w:left="0" w:firstLine="0"/>
              <w:jc w:val="left"/>
            </w:pPr>
          </w:p>
        </w:tc>
      </w:tr>
      <w:tr w:rsidR="0076001D">
        <w:trPr>
          <w:trHeight w:val="489"/>
        </w:trPr>
        <w:tc>
          <w:tcPr>
            <w:tcW w:w="532" w:type="dxa"/>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474" w:type="dxa"/>
            <w:tcBorders>
              <w:top w:val="nil"/>
              <w:left w:val="single" w:sz="4" w:space="0" w:color="000000"/>
              <w:bottom w:val="single" w:sz="4" w:space="0" w:color="000000"/>
              <w:right w:val="nil"/>
            </w:tcBorders>
          </w:tcPr>
          <w:p w:rsidR="0076001D" w:rsidRDefault="0034129A">
            <w:pPr>
              <w:spacing w:after="0" w:line="259" w:lineRule="auto"/>
              <w:ind w:left="114" w:firstLine="0"/>
              <w:jc w:val="left"/>
            </w:pPr>
            <w:r>
              <w:rPr>
                <w:rFonts w:ascii="Segoe UI Symbol" w:eastAsia="Segoe UI Symbol" w:hAnsi="Segoe UI Symbol" w:cs="Segoe UI Symbol"/>
                <w:sz w:val="20"/>
              </w:rPr>
              <w:t>•</w:t>
            </w:r>
            <w:r>
              <w:rPr>
                <w:sz w:val="20"/>
              </w:rPr>
              <w:t xml:space="preserve"> </w:t>
            </w:r>
          </w:p>
        </w:tc>
        <w:tc>
          <w:tcPr>
            <w:tcW w:w="3781" w:type="dxa"/>
            <w:tcBorders>
              <w:top w:val="nil"/>
              <w:left w:val="nil"/>
              <w:bottom w:val="single" w:sz="4" w:space="0" w:color="000000"/>
              <w:right w:val="single" w:sz="4" w:space="0" w:color="000000"/>
            </w:tcBorders>
          </w:tcPr>
          <w:p w:rsidR="0076001D" w:rsidRDefault="0034129A">
            <w:pPr>
              <w:spacing w:after="0" w:line="259" w:lineRule="auto"/>
              <w:ind w:left="0" w:firstLine="0"/>
            </w:pPr>
            <w:r>
              <w:rPr>
                <w:sz w:val="20"/>
              </w:rPr>
              <w:t xml:space="preserve">Que integre un inventario de hardware y software por medio de agente. </w:t>
            </w:r>
          </w:p>
        </w:tc>
        <w:tc>
          <w:tcPr>
            <w:tcW w:w="711" w:type="dxa"/>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c>
          <w:tcPr>
            <w:tcW w:w="4676" w:type="dxa"/>
            <w:tcBorders>
              <w:top w:val="nil"/>
              <w:left w:val="single" w:sz="4" w:space="0" w:color="000000"/>
              <w:bottom w:val="single" w:sz="4" w:space="0" w:color="000000"/>
              <w:right w:val="single" w:sz="4" w:space="0" w:color="000000"/>
            </w:tcBorders>
          </w:tcPr>
          <w:p w:rsidR="0076001D" w:rsidRDefault="0076001D">
            <w:pPr>
              <w:spacing w:after="160" w:line="259" w:lineRule="auto"/>
              <w:ind w:left="0" w:firstLine="0"/>
              <w:jc w:val="left"/>
            </w:pPr>
          </w:p>
        </w:tc>
      </w:tr>
    </w:tbl>
    <w:p w:rsidR="0076001D" w:rsidRDefault="0034129A">
      <w:pPr>
        <w:spacing w:after="115" w:line="251" w:lineRule="auto"/>
        <w:ind w:left="0" w:right="10053" w:firstLine="0"/>
      </w:pPr>
      <w:r>
        <w:rPr>
          <w:b/>
          <w:sz w:val="20"/>
        </w:rPr>
        <w:t xml:space="preserve"> </w:t>
      </w:r>
      <w:r>
        <w:rPr>
          <w:b/>
          <w:sz w:val="19"/>
        </w:rPr>
        <w:t xml:space="preserve"> </w:t>
      </w:r>
    </w:p>
    <w:p w:rsidR="0076001D" w:rsidRDefault="0034129A">
      <w:pPr>
        <w:tabs>
          <w:tab w:val="center" w:pos="870"/>
          <w:tab w:val="center" w:pos="4780"/>
        </w:tabs>
        <w:spacing w:after="0" w:line="259" w:lineRule="auto"/>
        <w:ind w:left="0" w:firstLine="0"/>
        <w:jc w:val="left"/>
      </w:pPr>
      <w:r>
        <w:rPr>
          <w:rFonts w:ascii="Calibri" w:eastAsia="Calibri" w:hAnsi="Calibri" w:cs="Calibri"/>
        </w:rPr>
        <w:tab/>
      </w:r>
      <w:r>
        <w:rPr>
          <w:b/>
        </w:rPr>
        <w:t xml:space="preserve">5.4.2.2 </w:t>
      </w:r>
      <w:r>
        <w:rPr>
          <w:b/>
        </w:rPr>
        <w:tab/>
        <w:t xml:space="preserve">Nuevas Recomendaciones 2020 </w:t>
      </w:r>
    </w:p>
    <w:tbl>
      <w:tblPr>
        <w:tblStyle w:val="TableGrid"/>
        <w:tblW w:w="9612" w:type="dxa"/>
        <w:tblInd w:w="164" w:type="dxa"/>
        <w:tblCellMar>
          <w:top w:w="13" w:type="dxa"/>
          <w:left w:w="53" w:type="dxa"/>
          <w:right w:w="68" w:type="dxa"/>
        </w:tblCellMar>
        <w:tblLook w:val="04A0" w:firstRow="1" w:lastRow="0" w:firstColumn="1" w:lastColumn="0" w:noHBand="0" w:noVBand="1"/>
      </w:tblPr>
      <w:tblGrid>
        <w:gridCol w:w="532"/>
        <w:gridCol w:w="9080"/>
      </w:tblGrid>
      <w:tr w:rsidR="0076001D">
        <w:trPr>
          <w:trHeight w:val="278"/>
        </w:trPr>
        <w:tc>
          <w:tcPr>
            <w:tcW w:w="532"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74" w:firstLine="0"/>
              <w:jc w:val="left"/>
            </w:pPr>
            <w:r>
              <w:rPr>
                <w:b/>
                <w:sz w:val="20"/>
              </w:rPr>
              <w:t xml:space="preserve">N°. </w:t>
            </w:r>
          </w:p>
        </w:tc>
        <w:tc>
          <w:tcPr>
            <w:tcW w:w="9081" w:type="dxa"/>
            <w:tcBorders>
              <w:top w:val="single" w:sz="4" w:space="0" w:color="000000"/>
              <w:left w:val="single" w:sz="4" w:space="0" w:color="000000"/>
              <w:bottom w:val="single" w:sz="4" w:space="0" w:color="000000"/>
              <w:right w:val="single" w:sz="4" w:space="0" w:color="000000"/>
            </w:tcBorders>
            <w:shd w:val="clear" w:color="auto" w:fill="D0CECE"/>
          </w:tcPr>
          <w:p w:rsidR="0076001D" w:rsidRDefault="0034129A">
            <w:pPr>
              <w:spacing w:after="0" w:line="259" w:lineRule="auto"/>
              <w:ind w:left="16" w:firstLine="0"/>
              <w:jc w:val="center"/>
            </w:pPr>
            <w:r>
              <w:rPr>
                <w:b/>
                <w:sz w:val="20"/>
              </w:rPr>
              <w:t xml:space="preserve">Recomendación 2020 </w:t>
            </w:r>
          </w:p>
        </w:tc>
      </w:tr>
      <w:tr w:rsidR="0076001D">
        <w:trPr>
          <w:trHeight w:val="474"/>
        </w:trPr>
        <w:tc>
          <w:tcPr>
            <w:tcW w:w="532" w:type="dxa"/>
            <w:tcBorders>
              <w:top w:val="single" w:sz="4" w:space="0" w:color="000000"/>
              <w:left w:val="single" w:sz="4" w:space="0" w:color="000000"/>
              <w:bottom w:val="single" w:sz="4" w:space="0" w:color="000000"/>
              <w:right w:val="single" w:sz="4" w:space="0" w:color="000000"/>
            </w:tcBorders>
            <w:vAlign w:val="center"/>
          </w:tcPr>
          <w:p w:rsidR="0076001D" w:rsidRDefault="0034129A">
            <w:pPr>
              <w:spacing w:after="0" w:line="259" w:lineRule="auto"/>
              <w:ind w:left="0" w:firstLine="0"/>
              <w:jc w:val="left"/>
            </w:pPr>
            <w:r>
              <w:rPr>
                <w:sz w:val="20"/>
              </w:rPr>
              <w:t xml:space="preserve">2. </w:t>
            </w:r>
          </w:p>
        </w:tc>
        <w:tc>
          <w:tcPr>
            <w:tcW w:w="9081"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61" w:firstLine="0"/>
              <w:jc w:val="left"/>
            </w:pPr>
            <w:r>
              <w:rPr>
                <w:sz w:val="20"/>
              </w:rPr>
              <w:t xml:space="preserve">Atender las recomendaciones que se encuentran con flecha roja del tablero de seguimiento a las recomendaciones 2019. </w:t>
            </w:r>
          </w:p>
        </w:tc>
      </w:tr>
    </w:tbl>
    <w:p w:rsidR="0076001D" w:rsidRDefault="0034129A">
      <w:pPr>
        <w:spacing w:after="158" w:line="259" w:lineRule="auto"/>
        <w:ind w:left="0" w:firstLine="0"/>
        <w:jc w:val="left"/>
      </w:pPr>
      <w:r>
        <w:rPr>
          <w:b/>
          <w:sz w:val="14"/>
        </w:rPr>
        <w:t xml:space="preserve"> </w:t>
      </w:r>
    </w:p>
    <w:p w:rsidR="0076001D" w:rsidRDefault="0034129A">
      <w:pPr>
        <w:tabs>
          <w:tab w:val="center" w:pos="604"/>
          <w:tab w:val="center" w:pos="1896"/>
        </w:tabs>
        <w:spacing w:after="31" w:line="259" w:lineRule="auto"/>
        <w:ind w:left="0" w:firstLine="0"/>
        <w:jc w:val="left"/>
      </w:pPr>
      <w:r>
        <w:rPr>
          <w:rFonts w:ascii="Calibri" w:eastAsia="Calibri" w:hAnsi="Calibri" w:cs="Calibri"/>
        </w:rPr>
        <w:tab/>
      </w:r>
      <w:r>
        <w:rPr>
          <w:b/>
        </w:rPr>
        <w:t xml:space="preserve">6 </w:t>
      </w:r>
      <w:r>
        <w:rPr>
          <w:b/>
        </w:rPr>
        <w:tab/>
        <w:t xml:space="preserve">CONCLUSIONES: </w:t>
      </w:r>
      <w:bookmarkStart w:id="0" w:name="_GoBack"/>
      <w:bookmarkEnd w:id="0"/>
    </w:p>
    <w:p w:rsidR="0076001D" w:rsidRDefault="0034129A">
      <w:pPr>
        <w:spacing w:after="0" w:line="259" w:lineRule="auto"/>
        <w:ind w:left="0" w:firstLine="0"/>
        <w:jc w:val="left"/>
      </w:pPr>
      <w:r>
        <w:rPr>
          <w:b/>
          <w:sz w:val="27"/>
        </w:rPr>
        <w:t xml:space="preserve"> </w:t>
      </w:r>
    </w:p>
    <w:p w:rsidR="0076001D" w:rsidRDefault="0034129A">
      <w:pPr>
        <w:spacing w:after="61"/>
        <w:ind w:left="826" w:right="439" w:firstLine="0"/>
      </w:pPr>
      <w:r>
        <w:lastRenderedPageBreak/>
        <w:t xml:space="preserve">La presente auditoría evidencia que la OAP ha adelantado un proceso de análisis de las recomendaciones emitidas en el informe de auditoría del 2019, cuyo resultado se refleja en la mejora de algunos de los componentes evaluados entre los que se destacan: </w:t>
      </w:r>
    </w:p>
    <w:p w:rsidR="0076001D" w:rsidRDefault="0034129A">
      <w:pPr>
        <w:spacing w:after="0" w:line="259" w:lineRule="auto"/>
        <w:ind w:left="0" w:firstLine="0"/>
        <w:jc w:val="left"/>
      </w:pPr>
      <w:r>
        <w:rPr>
          <w:sz w:val="25"/>
        </w:rPr>
        <w:t xml:space="preserve"> </w:t>
      </w:r>
    </w:p>
    <w:p w:rsidR="0076001D" w:rsidRDefault="0034129A">
      <w:pPr>
        <w:numPr>
          <w:ilvl w:val="0"/>
          <w:numId w:val="34"/>
        </w:numPr>
        <w:ind w:hanging="362"/>
      </w:pPr>
      <w:r>
        <w:t xml:space="preserve">Mejoramiento en la documentación e instructivos para la gestión y administración de la plataforma tecnológica del Idep para dar continuidad a la operación. </w:t>
      </w:r>
    </w:p>
    <w:p w:rsidR="0076001D" w:rsidRDefault="0034129A">
      <w:pPr>
        <w:numPr>
          <w:ilvl w:val="0"/>
          <w:numId w:val="34"/>
        </w:numPr>
        <w:ind w:hanging="362"/>
      </w:pPr>
      <w:r>
        <w:t xml:space="preserve">Mejorar en entorno de contingencia de la plataforma TIC. </w:t>
      </w:r>
    </w:p>
    <w:p w:rsidR="0076001D" w:rsidRDefault="0034129A">
      <w:pPr>
        <w:numPr>
          <w:ilvl w:val="0"/>
          <w:numId w:val="34"/>
        </w:numPr>
        <w:ind w:hanging="362"/>
      </w:pPr>
      <w:r>
        <w:t xml:space="preserve">Avances en materia de implementación tecnológica de controles en materia de seguridad informática y gestión de contraseñas. </w:t>
      </w:r>
    </w:p>
    <w:p w:rsidR="0076001D" w:rsidRDefault="0034129A">
      <w:pPr>
        <w:numPr>
          <w:ilvl w:val="0"/>
          <w:numId w:val="34"/>
        </w:numPr>
        <w:ind w:hanging="362"/>
      </w:pPr>
      <w:r>
        <w:t xml:space="preserve">Avances en la adopción de IPv6 </w:t>
      </w:r>
    </w:p>
    <w:p w:rsidR="0076001D" w:rsidRDefault="0034129A">
      <w:pPr>
        <w:spacing w:after="0" w:line="259" w:lineRule="auto"/>
        <w:ind w:left="0" w:firstLine="0"/>
        <w:jc w:val="left"/>
      </w:pPr>
      <w:r>
        <w:rPr>
          <w:sz w:val="26"/>
        </w:rPr>
        <w:t xml:space="preserve"> </w:t>
      </w:r>
    </w:p>
    <w:p w:rsidR="0076001D" w:rsidRDefault="0034129A">
      <w:pPr>
        <w:spacing w:after="0" w:line="259" w:lineRule="auto"/>
        <w:ind w:left="0" w:firstLine="0"/>
        <w:jc w:val="left"/>
      </w:pPr>
      <w:r>
        <w:rPr>
          <w:sz w:val="21"/>
        </w:rPr>
        <w:t xml:space="preserve"> </w:t>
      </w:r>
    </w:p>
    <w:p w:rsidR="0076001D" w:rsidRDefault="0034129A">
      <w:pPr>
        <w:spacing w:after="54"/>
        <w:ind w:left="826" w:right="433" w:firstLine="0"/>
      </w:pPr>
      <w:r>
        <w:t xml:space="preserve">Sin embargo, la auditoría también pone en evidencia que algunos componentes presentan debilidades de control que requieren de atención prioritaria de las acciones de mejoramiento ya que exponen a la entidad a riesgos de fallas en la operación de servicios tecnológicos y seguridad informática. </w:t>
      </w:r>
    </w:p>
    <w:p w:rsidR="0076001D" w:rsidRDefault="0034129A">
      <w:pPr>
        <w:spacing w:after="0" w:line="259" w:lineRule="auto"/>
        <w:ind w:left="0" w:firstLine="0"/>
        <w:jc w:val="left"/>
      </w:pPr>
      <w:r>
        <w:rPr>
          <w:sz w:val="25"/>
        </w:rPr>
        <w:t xml:space="preserve"> </w:t>
      </w:r>
    </w:p>
    <w:p w:rsidR="0076001D" w:rsidRDefault="0034129A">
      <w:pPr>
        <w:ind w:left="826" w:right="431" w:firstLine="0"/>
      </w:pPr>
      <w:r>
        <w:t xml:space="preserve">Si bien se está adelantado el proceso de identificación y administración de riesgos TIC y de seguridad de la información en el marco de implementación del MSPI, este componente debe ser priorizado, ya que no solo ofrece elementos de cumplimiento documental, sino que es la base para determinar la manera de asegurar la plataforma tecnológica y la gestión TIC con controles efectivos y medibles, además de ser la base para la actualización de un plan de Continuidad efectivo. </w:t>
      </w:r>
    </w:p>
    <w:p w:rsidR="0076001D" w:rsidRDefault="0034129A">
      <w:pPr>
        <w:spacing w:after="0" w:line="259" w:lineRule="auto"/>
        <w:ind w:left="0" w:firstLine="0"/>
        <w:jc w:val="left"/>
      </w:pPr>
      <w:r>
        <w:rPr>
          <w:sz w:val="21"/>
        </w:rPr>
        <w:t xml:space="preserve"> </w:t>
      </w:r>
    </w:p>
    <w:p w:rsidR="0076001D" w:rsidRDefault="0034129A">
      <w:pPr>
        <w:pStyle w:val="Ttulo2"/>
        <w:tabs>
          <w:tab w:val="center" w:pos="604"/>
          <w:tab w:val="center" w:pos="2116"/>
        </w:tabs>
        <w:spacing w:after="31"/>
        <w:ind w:left="0" w:firstLine="0"/>
      </w:pPr>
      <w:r>
        <w:rPr>
          <w:rFonts w:ascii="Calibri" w:eastAsia="Calibri" w:hAnsi="Calibri" w:cs="Calibri"/>
          <w:b w:val="0"/>
        </w:rPr>
        <w:tab/>
      </w:r>
      <w:r>
        <w:t xml:space="preserve">7 </w:t>
      </w:r>
      <w:r>
        <w:tab/>
        <w:t xml:space="preserve">RECOMENDACIONES </w:t>
      </w:r>
    </w:p>
    <w:p w:rsidR="0076001D" w:rsidRDefault="0034129A">
      <w:pPr>
        <w:spacing w:after="0" w:line="259" w:lineRule="auto"/>
        <w:ind w:left="0" w:firstLine="0"/>
        <w:jc w:val="left"/>
      </w:pPr>
      <w:r>
        <w:rPr>
          <w:b/>
          <w:sz w:val="27"/>
        </w:rPr>
        <w:t xml:space="preserve"> </w:t>
      </w:r>
    </w:p>
    <w:p w:rsidR="0076001D" w:rsidRDefault="0034129A">
      <w:pPr>
        <w:ind w:left="545" w:firstLine="0"/>
      </w:pPr>
      <w:r>
        <w:t xml:space="preserve">Las recomendaciones emitidas se presentan en cada ítem del capítulo 5 de este documento </w:t>
      </w:r>
    </w:p>
    <w:p w:rsidR="0076001D" w:rsidRDefault="0034129A">
      <w:pPr>
        <w:spacing w:after="0" w:line="259" w:lineRule="auto"/>
        <w:ind w:left="0" w:right="3185" w:firstLine="0"/>
        <w:jc w:val="left"/>
      </w:pPr>
      <w:r>
        <w:rPr>
          <w:sz w:val="24"/>
        </w:rPr>
        <w:t xml:space="preserve"> </w:t>
      </w:r>
    </w:p>
    <w:p w:rsidR="0076001D" w:rsidRDefault="0034129A">
      <w:pPr>
        <w:spacing w:after="113" w:line="259" w:lineRule="auto"/>
        <w:ind w:left="399" w:firstLine="0"/>
        <w:jc w:val="center"/>
      </w:pPr>
      <w:r>
        <w:rPr>
          <w:noProof/>
          <w:lang w:val="es-ES" w:eastAsia="es-ES"/>
        </w:rPr>
        <w:drawing>
          <wp:inline distT="0" distB="0" distL="0" distR="0">
            <wp:extent cx="2162175" cy="419101"/>
            <wp:effectExtent l="0" t="0" r="0" b="0"/>
            <wp:docPr id="21436" name="Picture 21436"/>
            <wp:cNvGraphicFramePr/>
            <a:graphic xmlns:a="http://schemas.openxmlformats.org/drawingml/2006/main">
              <a:graphicData uri="http://schemas.openxmlformats.org/drawingml/2006/picture">
                <pic:pic xmlns:pic="http://schemas.openxmlformats.org/drawingml/2006/picture">
                  <pic:nvPicPr>
                    <pic:cNvPr id="21436" name="Picture 21436"/>
                    <pic:cNvPicPr/>
                  </pic:nvPicPr>
                  <pic:blipFill>
                    <a:blip r:embed="rId198"/>
                    <a:stretch>
                      <a:fillRect/>
                    </a:stretch>
                  </pic:blipFill>
                  <pic:spPr>
                    <a:xfrm rot="-10799999">
                      <a:off x="0" y="0"/>
                      <a:ext cx="2162175" cy="419101"/>
                    </a:xfrm>
                    <a:prstGeom prst="rect">
                      <a:avLst/>
                    </a:prstGeom>
                  </pic:spPr>
                </pic:pic>
              </a:graphicData>
            </a:graphic>
          </wp:inline>
        </w:drawing>
      </w:r>
      <w:r>
        <w:rPr>
          <w:sz w:val="24"/>
        </w:rPr>
        <w:t xml:space="preserve"> </w:t>
      </w:r>
    </w:p>
    <w:p w:rsidR="0076001D" w:rsidRDefault="0034129A">
      <w:pPr>
        <w:spacing w:after="0" w:line="259" w:lineRule="auto"/>
        <w:ind w:left="97" w:firstLine="0"/>
        <w:jc w:val="center"/>
      </w:pPr>
      <w:r>
        <w:rPr>
          <w:b/>
        </w:rPr>
        <w:t xml:space="preserve">HILDA YAMILE MORALES LAVERDE </w:t>
      </w:r>
    </w:p>
    <w:p w:rsidR="0076001D" w:rsidRDefault="0034129A">
      <w:pPr>
        <w:ind w:left="165" w:right="53" w:hanging="10"/>
        <w:jc w:val="center"/>
      </w:pPr>
      <w:r>
        <w:t xml:space="preserve">Jefe de Control Interno </w:t>
      </w:r>
    </w:p>
    <w:tbl>
      <w:tblPr>
        <w:tblStyle w:val="TableGrid"/>
        <w:tblW w:w="9534" w:type="dxa"/>
        <w:tblInd w:w="454" w:type="dxa"/>
        <w:tblCellMar>
          <w:right w:w="6" w:type="dxa"/>
        </w:tblCellMar>
        <w:tblLook w:val="04A0" w:firstRow="1" w:lastRow="0" w:firstColumn="1" w:lastColumn="0" w:noHBand="0" w:noVBand="1"/>
      </w:tblPr>
      <w:tblGrid>
        <w:gridCol w:w="893"/>
        <w:gridCol w:w="6546"/>
        <w:gridCol w:w="2095"/>
      </w:tblGrid>
      <w:tr w:rsidR="0076001D">
        <w:trPr>
          <w:trHeight w:val="430"/>
        </w:trPr>
        <w:tc>
          <w:tcPr>
            <w:tcW w:w="89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 </w:t>
            </w:r>
          </w:p>
        </w:tc>
        <w:tc>
          <w:tcPr>
            <w:tcW w:w="65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Nombre / Cargo </w:t>
            </w:r>
          </w:p>
        </w:tc>
        <w:tc>
          <w:tcPr>
            <w:tcW w:w="20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Firma </w:t>
            </w:r>
          </w:p>
        </w:tc>
      </w:tr>
      <w:tr w:rsidR="0076001D">
        <w:trPr>
          <w:trHeight w:val="264"/>
        </w:trPr>
        <w:tc>
          <w:tcPr>
            <w:tcW w:w="89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Aprobó </w:t>
            </w:r>
          </w:p>
        </w:tc>
        <w:tc>
          <w:tcPr>
            <w:tcW w:w="65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Hilda Yamile Morales Laverde – Jefe Oficina de Control Interno </w:t>
            </w:r>
          </w:p>
        </w:tc>
        <w:tc>
          <w:tcPr>
            <w:tcW w:w="2095"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59" w:lineRule="auto"/>
              <w:ind w:left="0" w:firstLine="0"/>
              <w:jc w:val="right"/>
            </w:pPr>
            <w:r>
              <w:rPr>
                <w:noProof/>
                <w:lang w:val="es-ES" w:eastAsia="es-ES"/>
              </w:rPr>
              <w:drawing>
                <wp:inline distT="0" distB="0" distL="0" distR="0">
                  <wp:extent cx="1295400" cy="161925"/>
                  <wp:effectExtent l="0" t="0" r="0" b="0"/>
                  <wp:docPr id="21438" name="Picture 21438"/>
                  <wp:cNvGraphicFramePr/>
                  <a:graphic xmlns:a="http://schemas.openxmlformats.org/drawingml/2006/main">
                    <a:graphicData uri="http://schemas.openxmlformats.org/drawingml/2006/picture">
                      <pic:pic xmlns:pic="http://schemas.openxmlformats.org/drawingml/2006/picture">
                        <pic:nvPicPr>
                          <pic:cNvPr id="21438" name="Picture 21438"/>
                          <pic:cNvPicPr/>
                        </pic:nvPicPr>
                        <pic:blipFill>
                          <a:blip r:embed="rId198"/>
                          <a:stretch>
                            <a:fillRect/>
                          </a:stretch>
                        </pic:blipFill>
                        <pic:spPr>
                          <a:xfrm rot="-10799999">
                            <a:off x="0" y="0"/>
                            <a:ext cx="1295400" cy="161925"/>
                          </a:xfrm>
                          <a:prstGeom prst="rect">
                            <a:avLst/>
                          </a:prstGeom>
                        </pic:spPr>
                      </pic:pic>
                    </a:graphicData>
                  </a:graphic>
                </wp:inline>
              </w:drawing>
            </w:r>
            <w:r>
              <w:rPr>
                <w:sz w:val="16"/>
              </w:rPr>
              <w:t xml:space="preserve"> </w:t>
            </w:r>
          </w:p>
        </w:tc>
      </w:tr>
      <w:tr w:rsidR="0076001D">
        <w:trPr>
          <w:trHeight w:val="430"/>
        </w:trPr>
        <w:tc>
          <w:tcPr>
            <w:tcW w:w="89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Revisó </w:t>
            </w:r>
          </w:p>
        </w:tc>
        <w:tc>
          <w:tcPr>
            <w:tcW w:w="65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Hilda Yamile Morales Laverde – Jefe Oficina de Control Interno </w:t>
            </w:r>
          </w:p>
        </w:tc>
        <w:tc>
          <w:tcPr>
            <w:tcW w:w="2095" w:type="dxa"/>
            <w:tcBorders>
              <w:top w:val="single" w:sz="4" w:space="0" w:color="000000"/>
              <w:left w:val="single" w:sz="4" w:space="0" w:color="000000"/>
              <w:bottom w:val="single" w:sz="4" w:space="0" w:color="000000"/>
              <w:right w:val="single" w:sz="4" w:space="0" w:color="000000"/>
            </w:tcBorders>
            <w:vAlign w:val="bottom"/>
          </w:tcPr>
          <w:p w:rsidR="0076001D" w:rsidRDefault="0034129A">
            <w:pPr>
              <w:spacing w:after="0" w:line="259" w:lineRule="auto"/>
              <w:ind w:left="0" w:firstLine="0"/>
              <w:jc w:val="right"/>
            </w:pPr>
            <w:r>
              <w:rPr>
                <w:noProof/>
                <w:lang w:val="es-ES" w:eastAsia="es-ES"/>
              </w:rPr>
              <w:drawing>
                <wp:inline distT="0" distB="0" distL="0" distR="0">
                  <wp:extent cx="1295400" cy="257175"/>
                  <wp:effectExtent l="0" t="0" r="0" b="0"/>
                  <wp:docPr id="21440" name="Picture 21440"/>
                  <wp:cNvGraphicFramePr/>
                  <a:graphic xmlns:a="http://schemas.openxmlformats.org/drawingml/2006/main">
                    <a:graphicData uri="http://schemas.openxmlformats.org/drawingml/2006/picture">
                      <pic:pic xmlns:pic="http://schemas.openxmlformats.org/drawingml/2006/picture">
                        <pic:nvPicPr>
                          <pic:cNvPr id="21440" name="Picture 21440"/>
                          <pic:cNvPicPr/>
                        </pic:nvPicPr>
                        <pic:blipFill>
                          <a:blip r:embed="rId198"/>
                          <a:stretch>
                            <a:fillRect/>
                          </a:stretch>
                        </pic:blipFill>
                        <pic:spPr>
                          <a:xfrm rot="-10799999">
                            <a:off x="0" y="0"/>
                            <a:ext cx="1295400" cy="257175"/>
                          </a:xfrm>
                          <a:prstGeom prst="rect">
                            <a:avLst/>
                          </a:prstGeom>
                        </pic:spPr>
                      </pic:pic>
                    </a:graphicData>
                  </a:graphic>
                </wp:inline>
              </w:drawing>
            </w:r>
            <w:r>
              <w:rPr>
                <w:sz w:val="16"/>
              </w:rPr>
              <w:t xml:space="preserve"> </w:t>
            </w:r>
          </w:p>
        </w:tc>
      </w:tr>
      <w:tr w:rsidR="0076001D">
        <w:trPr>
          <w:trHeight w:val="430"/>
        </w:trPr>
        <w:tc>
          <w:tcPr>
            <w:tcW w:w="893"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Elaboró </w:t>
            </w:r>
          </w:p>
        </w:tc>
        <w:tc>
          <w:tcPr>
            <w:tcW w:w="6546"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Yadira </w:t>
            </w:r>
            <w:proofErr w:type="spellStart"/>
            <w:r>
              <w:rPr>
                <w:sz w:val="16"/>
              </w:rPr>
              <w:t>Velosa</w:t>
            </w:r>
            <w:proofErr w:type="spellEnd"/>
            <w:r>
              <w:rPr>
                <w:sz w:val="16"/>
              </w:rPr>
              <w:t xml:space="preserve"> Poveda – Profesional Contratista OCI. </w:t>
            </w:r>
          </w:p>
        </w:tc>
        <w:tc>
          <w:tcPr>
            <w:tcW w:w="2095" w:type="dxa"/>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197" w:firstLine="0"/>
              <w:jc w:val="left"/>
            </w:pPr>
            <w:r>
              <w:rPr>
                <w:rFonts w:ascii="Calibri" w:eastAsia="Calibri" w:hAnsi="Calibri" w:cs="Calibri"/>
                <w:noProof/>
                <w:lang w:val="es-ES" w:eastAsia="es-ES"/>
              </w:rPr>
              <mc:AlternateContent>
                <mc:Choice Requires="wpg">
                  <w:drawing>
                    <wp:inline distT="0" distB="0" distL="0" distR="0">
                      <wp:extent cx="1435735" cy="466090"/>
                      <wp:effectExtent l="0" t="0" r="0" b="0"/>
                      <wp:docPr id="190481" name="Group 190481"/>
                      <wp:cNvGraphicFramePr/>
                      <a:graphic xmlns:a="http://schemas.openxmlformats.org/drawingml/2006/main">
                        <a:graphicData uri="http://schemas.microsoft.com/office/word/2010/wordprocessingGroup">
                          <wpg:wgp>
                            <wpg:cNvGrpSpPr/>
                            <wpg:grpSpPr>
                              <a:xfrm>
                                <a:off x="0" y="0"/>
                                <a:ext cx="1435735" cy="466090"/>
                                <a:chOff x="0" y="0"/>
                                <a:chExt cx="1435735" cy="466090"/>
                              </a:xfrm>
                            </wpg:grpSpPr>
                            <pic:pic xmlns:pic="http://schemas.openxmlformats.org/drawingml/2006/picture">
                              <pic:nvPicPr>
                                <pic:cNvPr id="21265" name="Picture 21265"/>
                                <pic:cNvPicPr/>
                              </pic:nvPicPr>
                              <pic:blipFill>
                                <a:blip r:embed="rId199"/>
                                <a:stretch>
                                  <a:fillRect/>
                                </a:stretch>
                              </pic:blipFill>
                              <pic:spPr>
                                <a:xfrm>
                                  <a:off x="0" y="0"/>
                                  <a:ext cx="1435735" cy="466090"/>
                                </a:xfrm>
                                <a:prstGeom prst="rect">
                                  <a:avLst/>
                                </a:prstGeom>
                              </pic:spPr>
                            </pic:pic>
                            <wps:wsp>
                              <wps:cNvPr id="21404" name="Rectangle 21404"/>
                              <wps:cNvSpPr/>
                              <wps:spPr>
                                <a:xfrm>
                                  <a:off x="128397" y="20749"/>
                                  <a:ext cx="37731" cy="151421"/>
                                </a:xfrm>
                                <a:prstGeom prst="rect">
                                  <a:avLst/>
                                </a:prstGeom>
                                <a:ln>
                                  <a:noFill/>
                                </a:ln>
                              </wps:spPr>
                              <wps:txbx>
                                <w:txbxContent>
                                  <w:p w:rsidR="0076001D" w:rsidRDefault="0034129A">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cx="http://schemas.microsoft.com/office/drawing/2014/chartex">
                  <w:pict>
                    <v:group id="Group 190481" style="width:113.05pt;height:36.7pt;mso-position-horizontal-relative:char;mso-position-vertical-relative:line" coordsize="14357,4660">
                      <v:shape id="Picture 21265" style="position:absolute;width:14357;height:4660;left:0;top:0;" filled="f">
                        <v:imagedata r:id="rId200"/>
                      </v:shape>
                      <v:rect id="Rectangle 21404" style="position:absolute;width:377;height:1514;left:1283;top:207;" filled="f" stroked="f">
                        <v:textbox inset="0,0,0,0">
                          <w:txbxContent>
                            <w:p>
                              <w:pPr>
                                <w:spacing w:before="0" w:after="160" w:line="259" w:lineRule="auto"/>
                                <w:ind w:left="0" w:firstLine="0"/>
                                <w:jc w:val="left"/>
                              </w:pPr>
                              <w:r>
                                <w:rPr>
                                  <w:sz w:val="16"/>
                                </w:rPr>
                                <w:t xml:space="preserve"> </w:t>
                              </w:r>
                            </w:p>
                          </w:txbxContent>
                        </v:textbox>
                      </v:rect>
                    </v:group>
                  </w:pict>
                </mc:Fallback>
              </mc:AlternateContent>
            </w:r>
          </w:p>
        </w:tc>
      </w:tr>
      <w:tr w:rsidR="0076001D">
        <w:trPr>
          <w:trHeight w:val="432"/>
        </w:trPr>
        <w:tc>
          <w:tcPr>
            <w:tcW w:w="9534" w:type="dxa"/>
            <w:gridSpan w:val="3"/>
            <w:tcBorders>
              <w:top w:val="single" w:sz="4" w:space="0" w:color="000000"/>
              <w:left w:val="single" w:sz="4" w:space="0" w:color="000000"/>
              <w:bottom w:val="single" w:sz="4" w:space="0" w:color="000000"/>
              <w:right w:val="single" w:sz="4" w:space="0" w:color="000000"/>
            </w:tcBorders>
          </w:tcPr>
          <w:p w:rsidR="0076001D" w:rsidRDefault="0034129A">
            <w:pPr>
              <w:spacing w:after="0" w:line="259" w:lineRule="auto"/>
              <w:ind w:left="5" w:firstLine="0"/>
              <w:jc w:val="left"/>
            </w:pPr>
            <w:r>
              <w:rPr>
                <w:sz w:val="16"/>
              </w:rPr>
              <w:t xml:space="preserve">Los arriba firmantes declaramos que hemos revisado el presente documento y lo encontramos ajustado a las normas y disposiciones legales y/o técnicas vigentes </w:t>
            </w:r>
          </w:p>
        </w:tc>
      </w:tr>
    </w:tbl>
    <w:p w:rsidR="0076001D" w:rsidRDefault="0034129A">
      <w:pPr>
        <w:spacing w:after="0" w:line="259" w:lineRule="auto"/>
        <w:ind w:left="0" w:firstLine="0"/>
        <w:jc w:val="left"/>
      </w:pPr>
      <w:r>
        <w:t xml:space="preserve"> </w:t>
      </w:r>
    </w:p>
    <w:sectPr w:rsidR="0076001D">
      <w:headerReference w:type="even" r:id="rId201"/>
      <w:headerReference w:type="default" r:id="rId202"/>
      <w:footerReference w:type="even" r:id="rId203"/>
      <w:footerReference w:type="default" r:id="rId204"/>
      <w:headerReference w:type="first" r:id="rId205"/>
      <w:footerReference w:type="first" r:id="rId206"/>
      <w:pgSz w:w="12240" w:h="15840"/>
      <w:pgMar w:top="1767" w:right="972" w:bottom="0" w:left="1159" w:header="540" w:footer="3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53F" w:rsidRDefault="00BA553F">
      <w:pPr>
        <w:spacing w:after="0" w:line="240" w:lineRule="auto"/>
      </w:pPr>
      <w:r>
        <w:separator/>
      </w:r>
    </w:p>
  </w:endnote>
  <w:endnote w:type="continuationSeparator" w:id="0">
    <w:p w:rsidR="00BA553F" w:rsidRDefault="00BA5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02" w:right="395" w:firstLine="0"/>
      <w:jc w:val="left"/>
    </w:pPr>
    <w:r>
      <w:rPr>
        <w:noProof/>
        <w:lang w:val="es-ES" w:eastAsia="es-ES"/>
      </w:rPr>
      <w:drawing>
        <wp:anchor distT="0" distB="0" distL="114300" distR="114300" simplePos="0" relativeHeight="251661312"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789"/>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02" w:right="395"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firstLine="0"/>
      <w:jc w:val="left"/>
    </w:pP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17" w:firstLine="0"/>
      <w:jc w:val="left"/>
    </w:pPr>
    <w:r>
      <w:rPr>
        <w:noProof/>
        <w:lang w:val="es-ES" w:eastAsia="es-ES"/>
      </w:rPr>
      <w:drawing>
        <wp:anchor distT="0" distB="0" distL="114300" distR="114300" simplePos="0" relativeHeight="251678720"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16"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17"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17" w:firstLine="0"/>
      <w:jc w:val="left"/>
    </w:pPr>
    <w:r>
      <w:rPr>
        <w:noProof/>
        <w:lang w:val="es-ES" w:eastAsia="es-ES"/>
      </w:rPr>
      <w:drawing>
        <wp:anchor distT="0" distB="0" distL="114300" distR="114300" simplePos="0" relativeHeight="251679744"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17"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17"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20" w:firstLine="0"/>
      <w:jc w:val="left"/>
    </w:pPr>
    <w:r>
      <w:rPr>
        <w:noProof/>
        <w:lang w:val="es-ES" w:eastAsia="es-ES"/>
      </w:rPr>
      <w:drawing>
        <wp:anchor distT="0" distB="0" distL="114300" distR="114300" simplePos="0" relativeHeight="251683840"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21"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20"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20" w:firstLine="0"/>
      <w:jc w:val="left"/>
    </w:pPr>
    <w:r>
      <w:rPr>
        <w:noProof/>
        <w:lang w:val="es-ES" w:eastAsia="es-ES"/>
      </w:rPr>
      <w:drawing>
        <wp:anchor distT="0" distB="0" distL="114300" distR="114300" simplePos="0" relativeHeight="251684864"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2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20"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20" w:firstLine="0"/>
      <w:jc w:val="left"/>
    </w:pPr>
    <w:r>
      <w:rPr>
        <w:noProof/>
        <w:lang w:val="es-ES" w:eastAsia="es-ES"/>
      </w:rPr>
      <w:drawing>
        <wp:anchor distT="0" distB="0" distL="114300" distR="114300" simplePos="0" relativeHeight="251685888"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23"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20"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firstLine="0"/>
      <w:jc w:val="left"/>
    </w:pP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374" w:firstLine="0"/>
      <w:jc w:val="left"/>
    </w:pPr>
    <w:r>
      <w:rPr>
        <w:noProof/>
        <w:lang w:val="es-ES" w:eastAsia="es-ES"/>
      </w:rPr>
      <w:drawing>
        <wp:anchor distT="0" distB="0" distL="114300" distR="114300" simplePos="0" relativeHeight="251689984"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27"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374"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firstLine="0"/>
      <w:jc w:val="left"/>
    </w:pP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17" w:firstLine="0"/>
      <w:jc w:val="left"/>
    </w:pPr>
    <w:r>
      <w:rPr>
        <w:noProof/>
        <w:lang w:val="es-ES" w:eastAsia="es-ES"/>
      </w:rPr>
      <w:drawing>
        <wp:anchor distT="0" distB="0" distL="114300" distR="114300" simplePos="0" relativeHeight="251694080"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31"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17"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502" w:right="395" w:firstLine="0"/>
      <w:jc w:val="left"/>
    </w:pPr>
    <w:r>
      <w:rPr>
        <w:noProof/>
        <w:lang w:val="es-ES" w:eastAsia="es-ES"/>
      </w:rPr>
      <w:drawing>
        <wp:anchor distT="0" distB="0" distL="114300" distR="114300" simplePos="0" relativeHeight="251662336"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spacing w:after="0" w:line="259" w:lineRule="auto"/>
      <w:ind w:left="502" w:right="395" w:firstLine="0"/>
      <w:jc w:val="left"/>
    </w:pP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02" w:right="395"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17" w:firstLine="0"/>
      <w:jc w:val="left"/>
    </w:pPr>
    <w:r>
      <w:rPr>
        <w:noProof/>
        <w:lang w:val="es-ES" w:eastAsia="es-ES"/>
      </w:rPr>
      <w:drawing>
        <wp:anchor distT="0" distB="0" distL="114300" distR="114300" simplePos="0" relativeHeight="251695104"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3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17"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17" w:firstLine="0"/>
      <w:jc w:val="left"/>
    </w:pPr>
    <w:r>
      <w:rPr>
        <w:noProof/>
        <w:lang w:val="es-ES" w:eastAsia="es-ES"/>
      </w:rPr>
      <w:drawing>
        <wp:anchor distT="0" distB="0" distL="114300" distR="114300" simplePos="0" relativeHeight="251696128"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33"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17"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202" w:firstLine="0"/>
      <w:jc w:val="left"/>
    </w:pPr>
    <w:r>
      <w:rPr>
        <w:noProof/>
        <w:lang w:val="es-ES" w:eastAsia="es-ES"/>
      </w:rPr>
      <w:drawing>
        <wp:anchor distT="0" distB="0" distL="114300" distR="114300" simplePos="0" relativeHeight="251700224"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37"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789"/>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202"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76001D">
    <w:pPr>
      <w:spacing w:after="16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1159" w:right="198" w:firstLine="0"/>
      <w:jc w:val="left"/>
    </w:pPr>
    <w:r>
      <w:rPr>
        <w:noProof/>
        <w:lang w:val="es-ES" w:eastAsia="es-ES"/>
      </w:rPr>
      <w:drawing>
        <wp:anchor distT="0" distB="0" distL="114300" distR="114300" simplePos="0" relativeHeight="251701248" behindDoc="0" locked="0" layoutInCell="1" allowOverlap="0">
          <wp:simplePos x="0" y="0"/>
          <wp:positionH relativeFrom="page">
            <wp:posOffset>4745355</wp:posOffset>
          </wp:positionH>
          <wp:positionV relativeFrom="page">
            <wp:posOffset>9120505</wp:posOffset>
          </wp:positionV>
          <wp:extent cx="2000250" cy="647700"/>
          <wp:effectExtent l="0" t="0" r="0" b="0"/>
          <wp:wrapSquare wrapText="bothSides"/>
          <wp:docPr id="14018" name="Picture 14018"/>
          <wp:cNvGraphicFramePr/>
          <a:graphic xmlns:a="http://schemas.openxmlformats.org/drawingml/2006/main">
            <a:graphicData uri="http://schemas.openxmlformats.org/drawingml/2006/picture">
              <pic:pic xmlns:pic="http://schemas.openxmlformats.org/drawingml/2006/picture">
                <pic:nvPicPr>
                  <pic:cNvPr id="14018" name="Picture 14018"/>
                  <pic:cNvPicPr/>
                </pic:nvPicPr>
                <pic:blipFill>
                  <a:blip r:embed="rId1"/>
                  <a:stretch>
                    <a:fillRect/>
                  </a:stretch>
                </pic:blipFill>
                <pic:spPr>
                  <a:xfrm>
                    <a:off x="0" y="0"/>
                    <a:ext cx="2000250" cy="647700"/>
                  </a:xfrm>
                  <a:prstGeom prst="rect">
                    <a:avLst/>
                  </a:prstGeom>
                </pic:spPr>
              </pic:pic>
            </a:graphicData>
          </a:graphic>
        </wp:anchor>
      </w:drawing>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649" w:firstLine="0"/>
      <w:jc w:val="left"/>
    </w:pPr>
    <w:r>
      <w:rPr>
        <w:noProof/>
        <w:lang w:val="es-ES" w:eastAsia="es-ES"/>
      </w:rPr>
      <w:drawing>
        <wp:anchor distT="0" distB="0" distL="114300" distR="114300" simplePos="0" relativeHeight="251705344"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41"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649"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649" w:firstLine="0"/>
      <w:jc w:val="left"/>
    </w:pPr>
    <w:r>
      <w:rPr>
        <w:noProof/>
        <w:lang w:val="es-ES" w:eastAsia="es-ES"/>
      </w:rPr>
      <w:drawing>
        <wp:anchor distT="0" distB="0" distL="114300" distR="114300" simplePos="0" relativeHeight="251706368"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4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649"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2" w:line="259" w:lineRule="auto"/>
      <w:ind w:left="543" w:right="649" w:firstLine="0"/>
      <w:jc w:val="left"/>
    </w:pPr>
    <w:r>
      <w:rPr>
        <w:noProof/>
        <w:lang w:val="es-ES" w:eastAsia="es-ES"/>
      </w:rPr>
      <w:drawing>
        <wp:anchor distT="0" distB="0" distL="114300" distR="114300" simplePos="0" relativeHeight="251707392"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43"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830"/>
      </w:tabs>
      <w:spacing w:after="0" w:line="259" w:lineRule="auto"/>
      <w:ind w:left="0"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43" w:right="649"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502" w:right="395" w:firstLine="0"/>
      <w:jc w:val="left"/>
    </w:pPr>
    <w:r>
      <w:rPr>
        <w:noProof/>
        <w:lang w:val="es-ES" w:eastAsia="es-ES"/>
      </w:rPr>
      <w:drawing>
        <wp:anchor distT="0" distB="0" distL="114300" distR="114300" simplePos="0" relativeHeight="251663360"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spacing w:after="0" w:line="259" w:lineRule="auto"/>
      <w:ind w:left="502" w:right="395" w:firstLine="0"/>
      <w:jc w:val="left"/>
    </w:pP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02" w:right="395"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245" w:line="259" w:lineRule="auto"/>
      <w:ind w:left="0" w:right="219" w:firstLine="0"/>
      <w:jc w:val="left"/>
    </w:pPr>
    <w:r>
      <w:rPr>
        <w:noProof/>
        <w:lang w:val="es-ES" w:eastAsia="es-ES"/>
      </w:rPr>
      <w:drawing>
        <wp:anchor distT="0" distB="0" distL="114300" distR="114300" simplePos="0" relativeHeight="251667456"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4617" name="Picture 4617"/>
          <wp:cNvGraphicFramePr/>
          <a:graphic xmlns:a="http://schemas.openxmlformats.org/drawingml/2006/main">
            <a:graphicData uri="http://schemas.openxmlformats.org/drawingml/2006/picture">
              <pic:pic xmlns:pic="http://schemas.openxmlformats.org/drawingml/2006/picture">
                <pic:nvPicPr>
                  <pic:cNvPr id="4617" name="Picture 4617"/>
                  <pic:cNvPicPr/>
                </pic:nvPicPr>
                <pic:blipFill>
                  <a:blip r:embed="rId1"/>
                  <a:stretch>
                    <a:fillRect/>
                  </a:stretch>
                </pic:blipFill>
                <pic:spPr>
                  <a:xfrm>
                    <a:off x="0" y="0"/>
                    <a:ext cx="1998345" cy="647065"/>
                  </a:xfrm>
                  <a:prstGeom prst="rect">
                    <a:avLst/>
                  </a:prstGeom>
                </pic:spPr>
              </pic:pic>
            </a:graphicData>
          </a:graphic>
        </wp:anchor>
      </w:drawing>
    </w:r>
    <w:r>
      <w:rPr>
        <w:sz w:val="20"/>
      </w:rPr>
      <w:t xml:space="preserve"> </w:t>
    </w:r>
  </w:p>
  <w:p w:rsidR="0076001D" w:rsidRDefault="0034129A">
    <w:pPr>
      <w:spacing w:after="0" w:line="259" w:lineRule="auto"/>
      <w:ind w:left="502" w:right="219" w:firstLine="0"/>
      <w:jc w:val="left"/>
    </w:pP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spacing w:after="0" w:line="259" w:lineRule="auto"/>
      <w:ind w:left="502" w:right="219" w:firstLine="0"/>
      <w:jc w:val="left"/>
    </w:pP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02" w:right="219"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245" w:line="259" w:lineRule="auto"/>
      <w:ind w:left="0" w:right="219" w:firstLine="0"/>
      <w:jc w:val="left"/>
    </w:pPr>
    <w:r>
      <w:rPr>
        <w:noProof/>
        <w:lang w:val="es-ES" w:eastAsia="es-ES"/>
      </w:rPr>
      <w:drawing>
        <wp:anchor distT="0" distB="0" distL="114300" distR="114300" simplePos="0" relativeHeight="251668480" behindDoc="0" locked="0" layoutInCell="1" allowOverlap="0">
          <wp:simplePos x="0" y="0"/>
          <wp:positionH relativeFrom="page">
            <wp:posOffset>4744720</wp:posOffset>
          </wp:positionH>
          <wp:positionV relativeFrom="page">
            <wp:posOffset>9120505</wp:posOffset>
          </wp:positionV>
          <wp:extent cx="1998345" cy="647065"/>
          <wp:effectExtent l="0" t="0" r="0" b="0"/>
          <wp:wrapSquare wrapText="bothSides"/>
          <wp:docPr id="6" name="Picture 4617"/>
          <wp:cNvGraphicFramePr/>
          <a:graphic xmlns:a="http://schemas.openxmlformats.org/drawingml/2006/main">
            <a:graphicData uri="http://schemas.openxmlformats.org/drawingml/2006/picture">
              <pic:pic xmlns:pic="http://schemas.openxmlformats.org/drawingml/2006/picture">
                <pic:nvPicPr>
                  <pic:cNvPr id="4617" name="Picture 4617"/>
                  <pic:cNvPicPr/>
                </pic:nvPicPr>
                <pic:blipFill>
                  <a:blip r:embed="rId1"/>
                  <a:stretch>
                    <a:fillRect/>
                  </a:stretch>
                </pic:blipFill>
                <pic:spPr>
                  <a:xfrm>
                    <a:off x="0" y="0"/>
                    <a:ext cx="1998345" cy="647065"/>
                  </a:xfrm>
                  <a:prstGeom prst="rect">
                    <a:avLst/>
                  </a:prstGeom>
                </pic:spPr>
              </pic:pic>
            </a:graphicData>
          </a:graphic>
        </wp:anchor>
      </w:drawing>
    </w:r>
    <w:r>
      <w:rPr>
        <w:sz w:val="20"/>
      </w:rPr>
      <w:t xml:space="preserve"> </w:t>
    </w:r>
  </w:p>
  <w:p w:rsidR="0076001D" w:rsidRDefault="0034129A">
    <w:pPr>
      <w:spacing w:after="0" w:line="259" w:lineRule="auto"/>
      <w:ind w:left="502" w:right="219" w:firstLine="0"/>
      <w:jc w:val="left"/>
    </w:pP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spacing w:after="0" w:line="259" w:lineRule="auto"/>
      <w:ind w:left="502" w:right="219" w:firstLine="0"/>
      <w:jc w:val="left"/>
    </w:pP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02" w:right="219"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502" w:firstLine="0"/>
      <w:jc w:val="left"/>
    </w:pP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spacing w:after="0" w:line="259" w:lineRule="auto"/>
      <w:ind w:left="502" w:firstLine="0"/>
      <w:jc w:val="left"/>
    </w:pP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502"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3" w:line="259" w:lineRule="auto"/>
      <w:ind w:left="-24" w:right="4063" w:firstLine="0"/>
      <w:jc w:val="left"/>
    </w:pPr>
    <w:r>
      <w:rPr>
        <w:noProof/>
        <w:lang w:val="es-ES" w:eastAsia="es-ES"/>
      </w:rPr>
      <w:drawing>
        <wp:anchor distT="0" distB="0" distL="114300" distR="114300" simplePos="0" relativeHeight="251672576" behindDoc="0" locked="0" layoutInCell="1" allowOverlap="0">
          <wp:simplePos x="0" y="0"/>
          <wp:positionH relativeFrom="page">
            <wp:posOffset>4565650</wp:posOffset>
          </wp:positionH>
          <wp:positionV relativeFrom="page">
            <wp:posOffset>6834505</wp:posOffset>
          </wp:positionV>
          <wp:extent cx="1998345" cy="647065"/>
          <wp:effectExtent l="0" t="0" r="0" b="0"/>
          <wp:wrapSquare wrapText="bothSides"/>
          <wp:docPr id="5046" name="Picture 5046"/>
          <wp:cNvGraphicFramePr/>
          <a:graphic xmlns:a="http://schemas.openxmlformats.org/drawingml/2006/main">
            <a:graphicData uri="http://schemas.openxmlformats.org/drawingml/2006/picture">
              <pic:pic xmlns:pic="http://schemas.openxmlformats.org/drawingml/2006/picture">
                <pic:nvPicPr>
                  <pic:cNvPr id="5046" name="Picture 5046"/>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263"/>
      </w:tabs>
      <w:spacing w:after="0" w:line="259" w:lineRule="auto"/>
      <w:ind w:left="-281"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24" w:right="4063"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3" w:line="259" w:lineRule="auto"/>
      <w:ind w:left="-24" w:right="4063" w:firstLine="0"/>
      <w:jc w:val="left"/>
    </w:pPr>
    <w:r>
      <w:rPr>
        <w:noProof/>
        <w:lang w:val="es-ES" w:eastAsia="es-ES"/>
      </w:rPr>
      <w:drawing>
        <wp:anchor distT="0" distB="0" distL="114300" distR="114300" simplePos="0" relativeHeight="251673600" behindDoc="0" locked="0" layoutInCell="1" allowOverlap="0">
          <wp:simplePos x="0" y="0"/>
          <wp:positionH relativeFrom="page">
            <wp:posOffset>4565650</wp:posOffset>
          </wp:positionH>
          <wp:positionV relativeFrom="page">
            <wp:posOffset>6834505</wp:posOffset>
          </wp:positionV>
          <wp:extent cx="1998345" cy="647065"/>
          <wp:effectExtent l="0" t="0" r="0" b="0"/>
          <wp:wrapSquare wrapText="bothSides"/>
          <wp:docPr id="11" name="Picture 5046"/>
          <wp:cNvGraphicFramePr/>
          <a:graphic xmlns:a="http://schemas.openxmlformats.org/drawingml/2006/main">
            <a:graphicData uri="http://schemas.openxmlformats.org/drawingml/2006/picture">
              <pic:pic xmlns:pic="http://schemas.openxmlformats.org/drawingml/2006/picture">
                <pic:nvPicPr>
                  <pic:cNvPr id="5046" name="Picture 5046"/>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263"/>
      </w:tabs>
      <w:spacing w:after="0" w:line="259" w:lineRule="auto"/>
      <w:ind w:left="-281"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24" w:right="4063"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73" w:line="259" w:lineRule="auto"/>
      <w:ind w:left="-24" w:right="4063" w:firstLine="0"/>
      <w:jc w:val="left"/>
    </w:pPr>
    <w:r>
      <w:rPr>
        <w:noProof/>
        <w:lang w:val="es-ES" w:eastAsia="es-ES"/>
      </w:rPr>
      <w:drawing>
        <wp:anchor distT="0" distB="0" distL="114300" distR="114300" simplePos="0" relativeHeight="251674624" behindDoc="0" locked="0" layoutInCell="1" allowOverlap="0">
          <wp:simplePos x="0" y="0"/>
          <wp:positionH relativeFrom="page">
            <wp:posOffset>4565650</wp:posOffset>
          </wp:positionH>
          <wp:positionV relativeFrom="page">
            <wp:posOffset>6834505</wp:posOffset>
          </wp:positionV>
          <wp:extent cx="1998345" cy="647065"/>
          <wp:effectExtent l="0" t="0" r="0" b="0"/>
          <wp:wrapSquare wrapText="bothSides"/>
          <wp:docPr id="12" name="Picture 5046"/>
          <wp:cNvGraphicFramePr/>
          <a:graphic xmlns:a="http://schemas.openxmlformats.org/drawingml/2006/main">
            <a:graphicData uri="http://schemas.openxmlformats.org/drawingml/2006/picture">
              <pic:pic xmlns:pic="http://schemas.openxmlformats.org/drawingml/2006/picture">
                <pic:nvPicPr>
                  <pic:cNvPr id="5046" name="Picture 5046"/>
                  <pic:cNvPicPr/>
                </pic:nvPicPr>
                <pic:blipFill>
                  <a:blip r:embed="rId1"/>
                  <a:stretch>
                    <a:fillRect/>
                  </a:stretch>
                </pic:blipFill>
                <pic:spPr>
                  <a:xfrm>
                    <a:off x="0" y="0"/>
                    <a:ext cx="1998345" cy="647065"/>
                  </a:xfrm>
                  <a:prstGeom prst="rect">
                    <a:avLst/>
                  </a:prstGeom>
                </pic:spPr>
              </pic:pic>
            </a:graphicData>
          </a:graphic>
        </wp:anchor>
      </w:drawing>
    </w:r>
    <w:r>
      <w:rPr>
        <w:rFonts w:ascii="Calibri" w:eastAsia="Calibri" w:hAnsi="Calibri" w:cs="Calibri"/>
        <w:color w:val="313D4F"/>
        <w:sz w:val="14"/>
      </w:rPr>
      <w:t>INSTITUTO PARA LA INVESTIGACIÓN EDUCATIVA Y EL DESARROLLO PEDAGÓGICO, IDEP</w:t>
    </w:r>
    <w:r>
      <w:rPr>
        <w:rFonts w:ascii="Calibri" w:eastAsia="Calibri" w:hAnsi="Calibri" w:cs="Calibri"/>
        <w:sz w:val="14"/>
      </w:rPr>
      <w:t xml:space="preserve"> </w:t>
    </w:r>
  </w:p>
  <w:p w:rsidR="0076001D" w:rsidRDefault="0034129A">
    <w:pPr>
      <w:tabs>
        <w:tab w:val="center" w:pos="2263"/>
      </w:tabs>
      <w:spacing w:after="0" w:line="259" w:lineRule="auto"/>
      <w:ind w:left="-281" w:firstLine="0"/>
      <w:jc w:val="left"/>
    </w:pPr>
    <w:r>
      <w:rPr>
        <w:sz w:val="20"/>
      </w:rPr>
      <w:t xml:space="preserve"> </w:t>
    </w:r>
    <w:r>
      <w:rPr>
        <w:sz w:val="20"/>
      </w:rPr>
      <w:tab/>
    </w:r>
    <w:r>
      <w:rPr>
        <w:rFonts w:ascii="Calibri" w:eastAsia="Calibri" w:hAnsi="Calibri" w:cs="Calibri"/>
        <w:color w:val="313D4F"/>
        <w:sz w:val="14"/>
      </w:rPr>
      <w:t xml:space="preserve">Avenida Calle 26 No. 69D - 91. Oficinas 805, 806. Torre 2 - Código Postal: 110931 </w:t>
    </w:r>
  </w:p>
  <w:p w:rsidR="0076001D" w:rsidRDefault="0034129A">
    <w:pPr>
      <w:spacing w:after="0" w:line="259" w:lineRule="auto"/>
      <w:ind w:left="-24" w:right="4063" w:firstLine="0"/>
      <w:jc w:val="left"/>
    </w:pPr>
    <w:r>
      <w:rPr>
        <w:rFonts w:ascii="Calibri" w:eastAsia="Calibri" w:hAnsi="Calibri" w:cs="Calibri"/>
        <w:color w:val="313D4F"/>
        <w:sz w:val="14"/>
      </w:rPr>
      <w:t>PBX (57-1) 263 0603 - Línea de atención al ciudadano 195 Bogotá DC - Colombia</w:t>
    </w:r>
    <w:r>
      <w:rPr>
        <w:rFonts w:ascii="Calibri" w:eastAsia="Calibri" w:hAnsi="Calibri" w:cs="Calibri"/>
        <w:sz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53F" w:rsidRDefault="00BA553F">
      <w:pPr>
        <w:spacing w:after="0" w:line="240" w:lineRule="auto"/>
      </w:pPr>
      <w:r>
        <w:separator/>
      </w:r>
    </w:p>
  </w:footnote>
  <w:footnote w:type="continuationSeparator" w:id="0">
    <w:p w:rsidR="00BA553F" w:rsidRDefault="00BA5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0" w:right="4096" w:firstLine="0"/>
      <w:jc w:val="left"/>
    </w:pPr>
    <w:r>
      <w:rPr>
        <w:noProof/>
        <w:lang w:val="es-ES" w:eastAsia="es-ES"/>
      </w:rPr>
      <w:drawing>
        <wp:anchor distT="0" distB="0" distL="114300" distR="114300" simplePos="0" relativeHeight="251658240"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18" w:firstLine="0"/>
      <w:jc w:val="left"/>
    </w:pPr>
    <w:r>
      <w:rPr>
        <w:noProof/>
        <w:lang w:val="es-ES" w:eastAsia="es-ES"/>
      </w:rPr>
      <w:drawing>
        <wp:anchor distT="0" distB="0" distL="114300" distR="114300" simplePos="0" relativeHeight="251675648"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18" w:firstLine="0"/>
      <w:jc w:val="left"/>
    </w:pPr>
    <w:r>
      <w:rPr>
        <w:noProof/>
        <w:lang w:val="es-ES" w:eastAsia="es-ES"/>
      </w:rPr>
      <w:drawing>
        <wp:anchor distT="0" distB="0" distL="114300" distR="114300" simplePos="0" relativeHeight="251676672"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1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18" w:firstLine="0"/>
      <w:jc w:val="left"/>
    </w:pPr>
    <w:r>
      <w:rPr>
        <w:noProof/>
        <w:lang w:val="es-ES" w:eastAsia="es-ES"/>
      </w:rPr>
      <w:drawing>
        <wp:anchor distT="0" distB="0" distL="114300" distR="114300" simplePos="0" relativeHeight="251677696"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1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21" w:firstLine="0"/>
      <w:jc w:val="left"/>
    </w:pPr>
    <w:r>
      <w:rPr>
        <w:noProof/>
        <w:lang w:val="es-ES" w:eastAsia="es-ES"/>
      </w:rPr>
      <w:drawing>
        <wp:anchor distT="0" distB="0" distL="114300" distR="114300" simplePos="0" relativeHeight="251680768"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21" w:firstLine="0"/>
      <w:jc w:val="left"/>
    </w:pPr>
    <w:r>
      <w:rPr>
        <w:noProof/>
        <w:lang w:val="es-ES" w:eastAsia="es-ES"/>
      </w:rPr>
      <w:drawing>
        <wp:anchor distT="0" distB="0" distL="114300" distR="114300" simplePos="0" relativeHeight="251681792"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21" w:firstLine="0"/>
      <w:jc w:val="left"/>
    </w:pPr>
    <w:r>
      <w:rPr>
        <w:noProof/>
        <w:lang w:val="es-ES" w:eastAsia="es-ES"/>
      </w:rPr>
      <w:drawing>
        <wp:anchor distT="0" distB="0" distL="114300" distR="114300" simplePos="0" relativeHeight="251682816"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4075" w:firstLine="0"/>
      <w:jc w:val="left"/>
    </w:pPr>
    <w:r>
      <w:rPr>
        <w:noProof/>
        <w:lang w:val="es-ES" w:eastAsia="es-ES"/>
      </w:rPr>
      <w:drawing>
        <wp:anchor distT="0" distB="0" distL="114300" distR="114300" simplePos="0" relativeHeight="251686912"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4075" w:firstLine="0"/>
      <w:jc w:val="left"/>
    </w:pPr>
    <w:r>
      <w:rPr>
        <w:noProof/>
        <w:lang w:val="es-ES" w:eastAsia="es-ES"/>
      </w:rPr>
      <w:drawing>
        <wp:anchor distT="0" distB="0" distL="114300" distR="114300" simplePos="0" relativeHeight="251687936"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2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4075" w:firstLine="0"/>
      <w:jc w:val="left"/>
    </w:pPr>
    <w:r>
      <w:rPr>
        <w:noProof/>
        <w:lang w:val="es-ES" w:eastAsia="es-ES"/>
      </w:rPr>
      <w:drawing>
        <wp:anchor distT="0" distB="0" distL="114300" distR="114300" simplePos="0" relativeHeight="251688960"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2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18" w:firstLine="0"/>
      <w:jc w:val="left"/>
    </w:pPr>
    <w:r>
      <w:rPr>
        <w:noProof/>
        <w:lang w:val="es-ES" w:eastAsia="es-ES"/>
      </w:rPr>
      <w:drawing>
        <wp:anchor distT="0" distB="0" distL="114300" distR="114300" simplePos="0" relativeHeight="251691008"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2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0" w:right="4096" w:firstLine="0"/>
      <w:jc w:val="left"/>
    </w:pPr>
    <w:r>
      <w:rPr>
        <w:noProof/>
        <w:lang w:val="es-ES" w:eastAsia="es-ES"/>
      </w:rPr>
      <w:drawing>
        <wp:anchor distT="0" distB="0" distL="114300" distR="114300" simplePos="0" relativeHeight="251659264"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18" w:firstLine="0"/>
      <w:jc w:val="left"/>
    </w:pPr>
    <w:r>
      <w:rPr>
        <w:noProof/>
        <w:lang w:val="es-ES" w:eastAsia="es-ES"/>
      </w:rPr>
      <w:drawing>
        <wp:anchor distT="0" distB="0" distL="114300" distR="114300" simplePos="0" relativeHeight="251692032"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18" w:firstLine="0"/>
      <w:jc w:val="left"/>
    </w:pPr>
    <w:r>
      <w:rPr>
        <w:noProof/>
        <w:lang w:val="es-ES" w:eastAsia="es-ES"/>
      </w:rPr>
      <w:drawing>
        <wp:anchor distT="0" distB="0" distL="114300" distR="114300" simplePos="0" relativeHeight="251693056"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03" w:firstLine="0"/>
      <w:jc w:val="left"/>
    </w:pPr>
    <w:r>
      <w:rPr>
        <w:noProof/>
        <w:lang w:val="es-ES" w:eastAsia="es-ES"/>
      </w:rPr>
      <w:drawing>
        <wp:anchor distT="0" distB="0" distL="114300" distR="114300" simplePos="0" relativeHeight="251697152"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3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03" w:firstLine="0"/>
      <w:jc w:val="left"/>
    </w:pPr>
    <w:r>
      <w:rPr>
        <w:noProof/>
        <w:lang w:val="es-ES" w:eastAsia="es-ES"/>
      </w:rPr>
      <w:drawing>
        <wp:anchor distT="0" distB="0" distL="114300" distR="114300" simplePos="0" relativeHeight="251698176"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3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3903" w:firstLine="0"/>
      <w:jc w:val="left"/>
    </w:pPr>
    <w:r>
      <w:rPr>
        <w:noProof/>
        <w:lang w:val="es-ES" w:eastAsia="es-ES"/>
      </w:rPr>
      <w:drawing>
        <wp:anchor distT="0" distB="0" distL="114300" distR="114300" simplePos="0" relativeHeight="251699200"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3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4350" w:firstLine="0"/>
      <w:jc w:val="left"/>
    </w:pPr>
    <w:r>
      <w:rPr>
        <w:noProof/>
        <w:lang w:val="es-ES" w:eastAsia="es-ES"/>
      </w:rPr>
      <w:drawing>
        <wp:anchor distT="0" distB="0" distL="114300" distR="114300" simplePos="0" relativeHeight="251702272"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3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4350" w:firstLine="0"/>
      <w:jc w:val="left"/>
    </w:pPr>
    <w:r>
      <w:rPr>
        <w:noProof/>
        <w:lang w:val="es-ES" w:eastAsia="es-ES"/>
      </w:rPr>
      <w:drawing>
        <wp:anchor distT="0" distB="0" distL="114300" distR="114300" simplePos="0" relativeHeight="251703296"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3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41" w:right="4350" w:firstLine="0"/>
      <w:jc w:val="left"/>
    </w:pPr>
    <w:r>
      <w:rPr>
        <w:noProof/>
        <w:lang w:val="es-ES" w:eastAsia="es-ES"/>
      </w:rPr>
      <w:drawing>
        <wp:anchor distT="0" distB="0" distL="114300" distR="114300" simplePos="0" relativeHeight="251704320"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4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0" w:right="4096" w:firstLine="0"/>
      <w:jc w:val="left"/>
    </w:pPr>
    <w:r>
      <w:rPr>
        <w:noProof/>
        <w:lang w:val="es-ES" w:eastAsia="es-ES"/>
      </w:rPr>
      <w:drawing>
        <wp:anchor distT="0" distB="0" distL="114300" distR="114300" simplePos="0" relativeHeight="251660288"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0" w:right="3920" w:firstLine="0"/>
      <w:jc w:val="left"/>
    </w:pPr>
    <w:r>
      <w:rPr>
        <w:noProof/>
        <w:lang w:val="es-ES" w:eastAsia="es-ES"/>
      </w:rPr>
      <w:drawing>
        <wp:anchor distT="0" distB="0" distL="114300" distR="114300" simplePos="0" relativeHeight="251664384"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0" w:line="259" w:lineRule="auto"/>
      <w:ind w:left="0" w:right="3920" w:firstLine="0"/>
      <w:jc w:val="left"/>
    </w:pPr>
    <w:r>
      <w:rPr>
        <w:noProof/>
        <w:lang w:val="es-ES" w:eastAsia="es-ES"/>
      </w:rPr>
      <w:drawing>
        <wp:anchor distT="0" distB="0" distL="114300" distR="114300" simplePos="0" relativeHeight="251665408"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1183" w:line="259" w:lineRule="auto"/>
      <w:ind w:left="0" w:right="3920" w:firstLine="0"/>
      <w:jc w:val="left"/>
    </w:pPr>
    <w:r>
      <w:rPr>
        <w:noProof/>
        <w:lang w:val="es-ES" w:eastAsia="es-ES"/>
      </w:rPr>
      <w:drawing>
        <wp:anchor distT="0" distB="0" distL="114300" distR="114300" simplePos="0" relativeHeight="251666432" behindDoc="0" locked="0" layoutInCell="1" allowOverlap="0">
          <wp:simplePos x="0" y="0"/>
          <wp:positionH relativeFrom="page">
            <wp:posOffset>3541395</wp:posOffset>
          </wp:positionH>
          <wp:positionV relativeFrom="page">
            <wp:posOffset>449580</wp:posOffset>
          </wp:positionV>
          <wp:extent cx="851535" cy="791210"/>
          <wp:effectExtent l="0" t="0" r="0" b="0"/>
          <wp:wrapSquare wrapText="bothSides"/>
          <wp:docPr id="4531" name="Picture 4531"/>
          <wp:cNvGraphicFramePr/>
          <a:graphic xmlns:a="http://schemas.openxmlformats.org/drawingml/2006/main">
            <a:graphicData uri="http://schemas.openxmlformats.org/drawingml/2006/picture">
              <pic:pic xmlns:pic="http://schemas.openxmlformats.org/drawingml/2006/picture">
                <pic:nvPicPr>
                  <pic:cNvPr id="4531" name="Picture 4531"/>
                  <pic:cNvPicPr/>
                </pic:nvPicPr>
                <pic:blipFill>
                  <a:blip r:embed="rId1"/>
                  <a:stretch>
                    <a:fillRect/>
                  </a:stretch>
                </pic:blipFill>
                <pic:spPr>
                  <a:xfrm>
                    <a:off x="0" y="0"/>
                    <a:ext cx="851535" cy="791210"/>
                  </a:xfrm>
                  <a:prstGeom prst="rect">
                    <a:avLst/>
                  </a:prstGeom>
                </pic:spPr>
              </pic:pic>
            </a:graphicData>
          </a:graphic>
        </wp:anchor>
      </w:drawing>
    </w:r>
    <w:r>
      <w:rPr>
        <w:sz w:val="20"/>
      </w:rPr>
      <w:t xml:space="preserve"> </w:t>
    </w:r>
  </w:p>
  <w:p w:rsidR="0076001D" w:rsidRDefault="0034129A">
    <w:pPr>
      <w:spacing w:after="0" w:line="259" w:lineRule="auto"/>
      <w:ind w:left="0" w:firstLine="0"/>
      <w:jc w:val="left"/>
    </w:pPr>
    <w:r>
      <w:rPr>
        <w:rFonts w:ascii="Times New Roman" w:eastAsia="Times New Roman" w:hAnsi="Times New Roman" w:cs="Times New Roma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1183" w:line="259" w:lineRule="auto"/>
      <w:ind w:left="-281" w:right="5823" w:firstLine="0"/>
      <w:jc w:val="left"/>
    </w:pPr>
    <w:r>
      <w:rPr>
        <w:noProof/>
        <w:lang w:val="es-ES" w:eastAsia="es-ES"/>
      </w:rPr>
      <w:drawing>
        <wp:anchor distT="0" distB="0" distL="114300" distR="114300" simplePos="0" relativeHeight="251669504" behindDoc="0" locked="0" layoutInCell="1" allowOverlap="0">
          <wp:simplePos x="0" y="0"/>
          <wp:positionH relativeFrom="page">
            <wp:posOffset>4594225</wp:posOffset>
          </wp:positionH>
          <wp:positionV relativeFrom="page">
            <wp:posOffset>449580</wp:posOffset>
          </wp:positionV>
          <wp:extent cx="852157" cy="791210"/>
          <wp:effectExtent l="0" t="0" r="0" b="0"/>
          <wp:wrapSquare wrapText="bothSides"/>
          <wp:docPr id="5044" name="Picture 5044"/>
          <wp:cNvGraphicFramePr/>
          <a:graphic xmlns:a="http://schemas.openxmlformats.org/drawingml/2006/main">
            <a:graphicData uri="http://schemas.openxmlformats.org/drawingml/2006/picture">
              <pic:pic xmlns:pic="http://schemas.openxmlformats.org/drawingml/2006/picture">
                <pic:nvPicPr>
                  <pic:cNvPr id="5044" name="Picture 5044"/>
                  <pic:cNvPicPr/>
                </pic:nvPicPr>
                <pic:blipFill>
                  <a:blip r:embed="rId1"/>
                  <a:stretch>
                    <a:fillRect/>
                  </a:stretch>
                </pic:blipFill>
                <pic:spPr>
                  <a:xfrm>
                    <a:off x="0" y="0"/>
                    <a:ext cx="852157" cy="791210"/>
                  </a:xfrm>
                  <a:prstGeom prst="rect">
                    <a:avLst/>
                  </a:prstGeom>
                </pic:spPr>
              </pic:pic>
            </a:graphicData>
          </a:graphic>
        </wp:anchor>
      </w:drawing>
    </w:r>
    <w:r>
      <w:rPr>
        <w:sz w:val="20"/>
      </w:rPr>
      <w:t xml:space="preserve"> </w:t>
    </w:r>
  </w:p>
  <w:p w:rsidR="0076001D" w:rsidRDefault="0034129A">
    <w:pPr>
      <w:spacing w:after="0" w:line="259" w:lineRule="auto"/>
      <w:ind w:left="-281" w:firstLine="0"/>
      <w:jc w:val="left"/>
    </w:pPr>
    <w:r>
      <w:rPr>
        <w:rFonts w:ascii="Times New Roman" w:eastAsia="Times New Roman" w:hAnsi="Times New Roman" w:cs="Times New Roman"/>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1183" w:line="259" w:lineRule="auto"/>
      <w:ind w:left="-281" w:right="5823" w:firstLine="0"/>
      <w:jc w:val="left"/>
    </w:pPr>
    <w:r>
      <w:rPr>
        <w:noProof/>
        <w:lang w:val="es-ES" w:eastAsia="es-ES"/>
      </w:rPr>
      <w:drawing>
        <wp:anchor distT="0" distB="0" distL="114300" distR="114300" simplePos="0" relativeHeight="251670528" behindDoc="0" locked="0" layoutInCell="1" allowOverlap="0">
          <wp:simplePos x="0" y="0"/>
          <wp:positionH relativeFrom="page">
            <wp:posOffset>4594225</wp:posOffset>
          </wp:positionH>
          <wp:positionV relativeFrom="page">
            <wp:posOffset>449580</wp:posOffset>
          </wp:positionV>
          <wp:extent cx="852157" cy="791210"/>
          <wp:effectExtent l="0" t="0" r="0" b="0"/>
          <wp:wrapSquare wrapText="bothSides"/>
          <wp:docPr id="8" name="Picture 5044"/>
          <wp:cNvGraphicFramePr/>
          <a:graphic xmlns:a="http://schemas.openxmlformats.org/drawingml/2006/main">
            <a:graphicData uri="http://schemas.openxmlformats.org/drawingml/2006/picture">
              <pic:pic xmlns:pic="http://schemas.openxmlformats.org/drawingml/2006/picture">
                <pic:nvPicPr>
                  <pic:cNvPr id="5044" name="Picture 5044"/>
                  <pic:cNvPicPr/>
                </pic:nvPicPr>
                <pic:blipFill>
                  <a:blip r:embed="rId1"/>
                  <a:stretch>
                    <a:fillRect/>
                  </a:stretch>
                </pic:blipFill>
                <pic:spPr>
                  <a:xfrm>
                    <a:off x="0" y="0"/>
                    <a:ext cx="852157" cy="791210"/>
                  </a:xfrm>
                  <a:prstGeom prst="rect">
                    <a:avLst/>
                  </a:prstGeom>
                </pic:spPr>
              </pic:pic>
            </a:graphicData>
          </a:graphic>
        </wp:anchor>
      </w:drawing>
    </w:r>
    <w:r>
      <w:rPr>
        <w:sz w:val="20"/>
      </w:rPr>
      <w:t xml:space="preserve"> </w:t>
    </w:r>
  </w:p>
  <w:p w:rsidR="0076001D" w:rsidRDefault="0034129A">
    <w:pPr>
      <w:spacing w:after="0" w:line="259" w:lineRule="auto"/>
      <w:ind w:left="-281" w:firstLine="0"/>
      <w:jc w:val="left"/>
    </w:pPr>
    <w:r>
      <w:rPr>
        <w:rFonts w:ascii="Times New Roman" w:eastAsia="Times New Roman" w:hAnsi="Times New Roman" w:cs="Times New Roma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01D" w:rsidRDefault="0034129A">
    <w:pPr>
      <w:spacing w:after="1183" w:line="259" w:lineRule="auto"/>
      <w:ind w:left="-281" w:right="5823" w:firstLine="0"/>
      <w:jc w:val="left"/>
    </w:pPr>
    <w:r>
      <w:rPr>
        <w:noProof/>
        <w:lang w:val="es-ES" w:eastAsia="es-ES"/>
      </w:rPr>
      <w:drawing>
        <wp:anchor distT="0" distB="0" distL="114300" distR="114300" simplePos="0" relativeHeight="251671552" behindDoc="0" locked="0" layoutInCell="1" allowOverlap="0">
          <wp:simplePos x="0" y="0"/>
          <wp:positionH relativeFrom="page">
            <wp:posOffset>4594225</wp:posOffset>
          </wp:positionH>
          <wp:positionV relativeFrom="page">
            <wp:posOffset>449580</wp:posOffset>
          </wp:positionV>
          <wp:extent cx="852157" cy="791210"/>
          <wp:effectExtent l="0" t="0" r="0" b="0"/>
          <wp:wrapSquare wrapText="bothSides"/>
          <wp:docPr id="10" name="Picture 5044"/>
          <wp:cNvGraphicFramePr/>
          <a:graphic xmlns:a="http://schemas.openxmlformats.org/drawingml/2006/main">
            <a:graphicData uri="http://schemas.openxmlformats.org/drawingml/2006/picture">
              <pic:pic xmlns:pic="http://schemas.openxmlformats.org/drawingml/2006/picture">
                <pic:nvPicPr>
                  <pic:cNvPr id="5044" name="Picture 5044"/>
                  <pic:cNvPicPr/>
                </pic:nvPicPr>
                <pic:blipFill>
                  <a:blip r:embed="rId1"/>
                  <a:stretch>
                    <a:fillRect/>
                  </a:stretch>
                </pic:blipFill>
                <pic:spPr>
                  <a:xfrm>
                    <a:off x="0" y="0"/>
                    <a:ext cx="852157" cy="791210"/>
                  </a:xfrm>
                  <a:prstGeom prst="rect">
                    <a:avLst/>
                  </a:prstGeom>
                </pic:spPr>
              </pic:pic>
            </a:graphicData>
          </a:graphic>
        </wp:anchor>
      </w:drawing>
    </w:r>
    <w:r>
      <w:rPr>
        <w:sz w:val="20"/>
      </w:rPr>
      <w:t xml:space="preserve"> </w:t>
    </w:r>
  </w:p>
  <w:p w:rsidR="0076001D" w:rsidRDefault="0034129A">
    <w:pPr>
      <w:spacing w:after="0" w:line="259" w:lineRule="auto"/>
      <w:ind w:left="-281" w:firstLine="0"/>
      <w:jc w:val="left"/>
    </w:pP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27" style="width:21pt;height:21pt" coordsize="" o:spt="100" o:bullet="t" adj="0,,0" path="" stroked="f">
        <v:stroke joinstyle="miter"/>
        <v:imagedata r:id="rId1" o:title="image83"/>
        <v:formulas/>
        <v:path o:connecttype="segments"/>
      </v:shape>
    </w:pict>
  </w:numPicBullet>
  <w:abstractNum w:abstractNumId="0" w15:restartNumberingAfterBreak="0">
    <w:nsid w:val="04FC771E"/>
    <w:multiLevelType w:val="hybridMultilevel"/>
    <w:tmpl w:val="3998F948"/>
    <w:lvl w:ilvl="0" w:tplc="FE2EEC36">
      <w:start w:val="1"/>
      <w:numFmt w:val="decimal"/>
      <w:lvlText w:val="%1."/>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762076">
      <w:start w:val="1"/>
      <w:numFmt w:val="lowerLetter"/>
      <w:lvlText w:val="%2"/>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5A4D30">
      <w:start w:val="1"/>
      <w:numFmt w:val="lowerRoman"/>
      <w:lvlText w:val="%3"/>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3205982">
      <w:start w:val="1"/>
      <w:numFmt w:val="decimal"/>
      <w:lvlText w:val="%4"/>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0A2092">
      <w:start w:val="1"/>
      <w:numFmt w:val="lowerLetter"/>
      <w:lvlText w:val="%5"/>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041A2C">
      <w:start w:val="1"/>
      <w:numFmt w:val="lowerRoman"/>
      <w:lvlText w:val="%6"/>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B04A7E">
      <w:start w:val="1"/>
      <w:numFmt w:val="decimal"/>
      <w:lvlText w:val="%7"/>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8A1220">
      <w:start w:val="1"/>
      <w:numFmt w:val="lowerLetter"/>
      <w:lvlText w:val="%8"/>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E03EE4">
      <w:start w:val="1"/>
      <w:numFmt w:val="lowerRoman"/>
      <w:lvlText w:val="%9"/>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2F6D71"/>
    <w:multiLevelType w:val="hybridMultilevel"/>
    <w:tmpl w:val="A9BE6670"/>
    <w:lvl w:ilvl="0" w:tplc="4E64B2A6">
      <w:start w:val="1"/>
      <w:numFmt w:val="bullet"/>
      <w:lvlText w:val="•"/>
      <w:lvlPicBulletId w:val="0"/>
      <w:lvlJc w:val="left"/>
      <w:pPr>
        <w:ind w:left="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9077D6">
      <w:start w:val="1"/>
      <w:numFmt w:val="bullet"/>
      <w:lvlText w:val="o"/>
      <w:lvlJc w:val="left"/>
      <w:pPr>
        <w:ind w:left="20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B23BFC">
      <w:start w:val="1"/>
      <w:numFmt w:val="bullet"/>
      <w:lvlText w:val="▪"/>
      <w:lvlJc w:val="left"/>
      <w:pPr>
        <w:ind w:left="27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28E87CE">
      <w:start w:val="1"/>
      <w:numFmt w:val="bullet"/>
      <w:lvlText w:val="•"/>
      <w:lvlJc w:val="left"/>
      <w:pPr>
        <w:ind w:left="34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BE8FDA">
      <w:start w:val="1"/>
      <w:numFmt w:val="bullet"/>
      <w:lvlText w:val="o"/>
      <w:lvlJc w:val="left"/>
      <w:pPr>
        <w:ind w:left="41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0ADAEC">
      <w:start w:val="1"/>
      <w:numFmt w:val="bullet"/>
      <w:lvlText w:val="▪"/>
      <w:lvlJc w:val="left"/>
      <w:pPr>
        <w:ind w:left="49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8683AE">
      <w:start w:val="1"/>
      <w:numFmt w:val="bullet"/>
      <w:lvlText w:val="•"/>
      <w:lvlJc w:val="left"/>
      <w:pPr>
        <w:ind w:left="56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F86D2E">
      <w:start w:val="1"/>
      <w:numFmt w:val="bullet"/>
      <w:lvlText w:val="o"/>
      <w:lvlJc w:val="left"/>
      <w:pPr>
        <w:ind w:left="63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E0D5FE">
      <w:start w:val="1"/>
      <w:numFmt w:val="bullet"/>
      <w:lvlText w:val="▪"/>
      <w:lvlJc w:val="left"/>
      <w:pPr>
        <w:ind w:left="70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F71707"/>
    <w:multiLevelType w:val="multilevel"/>
    <w:tmpl w:val="2A6A764A"/>
    <w:lvl w:ilvl="0">
      <w:start w:val="12"/>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1"/>
      <w:numFmt w:val="decimal"/>
      <w:lvlText w:val="%1.%2"/>
      <w:lvlJc w:val="left"/>
      <w:pPr>
        <w:ind w:left="36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2"/>
      <w:numFmt w:val="decimal"/>
      <w:lvlRestart w:val="0"/>
      <w:lvlText w:val="%1.%2.%3"/>
      <w:lvlJc w:val="left"/>
      <w:pPr>
        <w:ind w:left="121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08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180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252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24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396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468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3" w15:restartNumberingAfterBreak="0">
    <w:nsid w:val="09290F6C"/>
    <w:multiLevelType w:val="hybridMultilevel"/>
    <w:tmpl w:val="BAE44336"/>
    <w:lvl w:ilvl="0" w:tplc="BCAE081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6024D6">
      <w:start w:val="1"/>
      <w:numFmt w:val="bullet"/>
      <w:lvlText w:val="o"/>
      <w:lvlJc w:val="left"/>
      <w:pPr>
        <w:ind w:left="11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19EED00">
      <w:start w:val="1"/>
      <w:numFmt w:val="bullet"/>
      <w:lvlText w:val="▪"/>
      <w:lvlJc w:val="left"/>
      <w:pPr>
        <w:ind w:left="19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90EF304">
      <w:start w:val="1"/>
      <w:numFmt w:val="bullet"/>
      <w:lvlText w:val="•"/>
      <w:lvlJc w:val="left"/>
      <w:pPr>
        <w:ind w:left="26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064A268">
      <w:start w:val="1"/>
      <w:numFmt w:val="bullet"/>
      <w:lvlText w:val="o"/>
      <w:lvlJc w:val="left"/>
      <w:pPr>
        <w:ind w:left="335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23E629A">
      <w:start w:val="1"/>
      <w:numFmt w:val="bullet"/>
      <w:lvlText w:val="▪"/>
      <w:lvlJc w:val="left"/>
      <w:pPr>
        <w:ind w:left="407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3C24C14">
      <w:start w:val="1"/>
      <w:numFmt w:val="bullet"/>
      <w:lvlText w:val="•"/>
      <w:lvlJc w:val="left"/>
      <w:pPr>
        <w:ind w:left="479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A000F5E">
      <w:start w:val="1"/>
      <w:numFmt w:val="bullet"/>
      <w:lvlText w:val="o"/>
      <w:lvlJc w:val="left"/>
      <w:pPr>
        <w:ind w:left="55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DECF5A0">
      <w:start w:val="1"/>
      <w:numFmt w:val="bullet"/>
      <w:lvlText w:val="▪"/>
      <w:lvlJc w:val="left"/>
      <w:pPr>
        <w:ind w:left="62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AFB6C7A"/>
    <w:multiLevelType w:val="hybridMultilevel"/>
    <w:tmpl w:val="B49C5F84"/>
    <w:lvl w:ilvl="0" w:tplc="B1663116">
      <w:start w:val="1"/>
      <w:numFmt w:val="bullet"/>
      <w:lvlText w:val="o"/>
      <w:lvlJc w:val="left"/>
      <w:pPr>
        <w:ind w:left="9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C724368">
      <w:start w:val="1"/>
      <w:numFmt w:val="bullet"/>
      <w:lvlText w:val="o"/>
      <w:lvlJc w:val="left"/>
      <w:pPr>
        <w:ind w:left="23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8A8AE56">
      <w:start w:val="1"/>
      <w:numFmt w:val="bullet"/>
      <w:lvlText w:val="▪"/>
      <w:lvlJc w:val="left"/>
      <w:pPr>
        <w:ind w:left="30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62AFB64">
      <w:start w:val="1"/>
      <w:numFmt w:val="bullet"/>
      <w:lvlText w:val="•"/>
      <w:lvlJc w:val="left"/>
      <w:pPr>
        <w:ind w:left="37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54A5AD0">
      <w:start w:val="1"/>
      <w:numFmt w:val="bullet"/>
      <w:lvlText w:val="o"/>
      <w:lvlJc w:val="left"/>
      <w:pPr>
        <w:ind w:left="45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DE8EB34">
      <w:start w:val="1"/>
      <w:numFmt w:val="bullet"/>
      <w:lvlText w:val="▪"/>
      <w:lvlJc w:val="left"/>
      <w:pPr>
        <w:ind w:left="52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2FA84B8">
      <w:start w:val="1"/>
      <w:numFmt w:val="bullet"/>
      <w:lvlText w:val="•"/>
      <w:lvlJc w:val="left"/>
      <w:pPr>
        <w:ind w:left="59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156F548">
      <w:start w:val="1"/>
      <w:numFmt w:val="bullet"/>
      <w:lvlText w:val="o"/>
      <w:lvlJc w:val="left"/>
      <w:pPr>
        <w:ind w:left="66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6228330">
      <w:start w:val="1"/>
      <w:numFmt w:val="bullet"/>
      <w:lvlText w:val="▪"/>
      <w:lvlJc w:val="left"/>
      <w:pPr>
        <w:ind w:left="73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5326C4"/>
    <w:multiLevelType w:val="hybridMultilevel"/>
    <w:tmpl w:val="B5145B0C"/>
    <w:lvl w:ilvl="0" w:tplc="3EA471CE">
      <w:start w:val="1"/>
      <w:numFmt w:val="bullet"/>
      <w:lvlText w:val="•"/>
      <w:lvlPicBulletId w:val="0"/>
      <w:lvlJc w:val="left"/>
      <w:pPr>
        <w:ind w:left="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7C1F6E">
      <w:start w:val="1"/>
      <w:numFmt w:val="bullet"/>
      <w:lvlText w:val="o"/>
      <w:lvlJc w:val="left"/>
      <w:pPr>
        <w:ind w:left="19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F08E42">
      <w:start w:val="1"/>
      <w:numFmt w:val="bullet"/>
      <w:lvlText w:val="▪"/>
      <w:lvlJc w:val="left"/>
      <w:pPr>
        <w:ind w:left="2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0A3260">
      <w:start w:val="1"/>
      <w:numFmt w:val="bullet"/>
      <w:lvlText w:val="•"/>
      <w:lvlJc w:val="left"/>
      <w:pPr>
        <w:ind w:left="34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C6CADC">
      <w:start w:val="1"/>
      <w:numFmt w:val="bullet"/>
      <w:lvlText w:val="o"/>
      <w:lvlJc w:val="left"/>
      <w:pPr>
        <w:ind w:left="4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6AA6BC">
      <w:start w:val="1"/>
      <w:numFmt w:val="bullet"/>
      <w:lvlText w:val="▪"/>
      <w:lvlJc w:val="left"/>
      <w:pPr>
        <w:ind w:left="4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6A4C66">
      <w:start w:val="1"/>
      <w:numFmt w:val="bullet"/>
      <w:lvlText w:val="•"/>
      <w:lvlJc w:val="left"/>
      <w:pPr>
        <w:ind w:left="5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ED225C0">
      <w:start w:val="1"/>
      <w:numFmt w:val="bullet"/>
      <w:lvlText w:val="o"/>
      <w:lvlJc w:val="left"/>
      <w:pPr>
        <w:ind w:left="6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62EC56">
      <w:start w:val="1"/>
      <w:numFmt w:val="bullet"/>
      <w:lvlText w:val="▪"/>
      <w:lvlJc w:val="left"/>
      <w:pPr>
        <w:ind w:left="7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BBE30C9"/>
    <w:multiLevelType w:val="hybridMultilevel"/>
    <w:tmpl w:val="8AAA4250"/>
    <w:lvl w:ilvl="0" w:tplc="78DE472A">
      <w:start w:val="1"/>
      <w:numFmt w:val="bullet"/>
      <w:lvlText w:val="o"/>
      <w:lvlJc w:val="left"/>
      <w:pPr>
        <w:ind w:left="15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27C1508">
      <w:start w:val="1"/>
      <w:numFmt w:val="bullet"/>
      <w:lvlText w:val="o"/>
      <w:lvlJc w:val="left"/>
      <w:pPr>
        <w:ind w:left="23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4D401A8">
      <w:start w:val="1"/>
      <w:numFmt w:val="bullet"/>
      <w:lvlText w:val="▪"/>
      <w:lvlJc w:val="left"/>
      <w:pPr>
        <w:ind w:left="30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F1A5B26">
      <w:start w:val="1"/>
      <w:numFmt w:val="bullet"/>
      <w:lvlText w:val="•"/>
      <w:lvlJc w:val="left"/>
      <w:pPr>
        <w:ind w:left="37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C220B72">
      <w:start w:val="1"/>
      <w:numFmt w:val="bullet"/>
      <w:lvlText w:val="o"/>
      <w:lvlJc w:val="left"/>
      <w:pPr>
        <w:ind w:left="446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64AFD3A">
      <w:start w:val="1"/>
      <w:numFmt w:val="bullet"/>
      <w:lvlText w:val="▪"/>
      <w:lvlJc w:val="left"/>
      <w:pPr>
        <w:ind w:left="51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A90C908">
      <w:start w:val="1"/>
      <w:numFmt w:val="bullet"/>
      <w:lvlText w:val="•"/>
      <w:lvlJc w:val="left"/>
      <w:pPr>
        <w:ind w:left="59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30C1BBA">
      <w:start w:val="1"/>
      <w:numFmt w:val="bullet"/>
      <w:lvlText w:val="o"/>
      <w:lvlJc w:val="left"/>
      <w:pPr>
        <w:ind w:left="66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AC4FEB2">
      <w:start w:val="1"/>
      <w:numFmt w:val="bullet"/>
      <w:lvlText w:val="▪"/>
      <w:lvlJc w:val="left"/>
      <w:pPr>
        <w:ind w:left="73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1D5E19"/>
    <w:multiLevelType w:val="multilevel"/>
    <w:tmpl w:val="788ACEDA"/>
    <w:lvl w:ilvl="0">
      <w:start w:val="12"/>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4"/>
      <w:numFmt w:val="decimal"/>
      <w:lvlText w:val="%1.%2"/>
      <w:lvlJc w:val="left"/>
      <w:pPr>
        <w:ind w:left="36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1"/>
      <w:numFmt w:val="decimal"/>
      <w:lvlRestart w:val="0"/>
      <w:lvlText w:val="%1.%2.%3"/>
      <w:lvlJc w:val="left"/>
      <w:pPr>
        <w:ind w:left="729"/>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08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180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252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24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396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468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8" w15:restartNumberingAfterBreak="0">
    <w:nsid w:val="11081C8F"/>
    <w:multiLevelType w:val="hybridMultilevel"/>
    <w:tmpl w:val="B3762B26"/>
    <w:lvl w:ilvl="0" w:tplc="B95A32E4">
      <w:start w:val="1"/>
      <w:numFmt w:val="decimal"/>
      <w:lvlText w:val="%1."/>
      <w:lvlJc w:val="left"/>
      <w:pPr>
        <w:ind w:left="1207"/>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1" w:tplc="D1A40D62">
      <w:start w:val="1"/>
      <w:numFmt w:val="lowerLetter"/>
      <w:lvlText w:val="%2"/>
      <w:lvlJc w:val="left"/>
      <w:pPr>
        <w:ind w:left="1942"/>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2" w:tplc="AC6AFAE4">
      <w:start w:val="1"/>
      <w:numFmt w:val="lowerRoman"/>
      <w:lvlText w:val="%3"/>
      <w:lvlJc w:val="left"/>
      <w:pPr>
        <w:ind w:left="2662"/>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3" w:tplc="A168AA74">
      <w:start w:val="1"/>
      <w:numFmt w:val="decimal"/>
      <w:lvlText w:val="%4"/>
      <w:lvlJc w:val="left"/>
      <w:pPr>
        <w:ind w:left="3382"/>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4" w:tplc="B00A03E2">
      <w:start w:val="1"/>
      <w:numFmt w:val="lowerLetter"/>
      <w:lvlText w:val="%5"/>
      <w:lvlJc w:val="left"/>
      <w:pPr>
        <w:ind w:left="4102"/>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5" w:tplc="63ECBA30">
      <w:start w:val="1"/>
      <w:numFmt w:val="lowerRoman"/>
      <w:lvlText w:val="%6"/>
      <w:lvlJc w:val="left"/>
      <w:pPr>
        <w:ind w:left="4822"/>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6" w:tplc="7BB2B970">
      <w:start w:val="1"/>
      <w:numFmt w:val="decimal"/>
      <w:lvlText w:val="%7"/>
      <w:lvlJc w:val="left"/>
      <w:pPr>
        <w:ind w:left="5542"/>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7" w:tplc="77F0CFE4">
      <w:start w:val="1"/>
      <w:numFmt w:val="lowerLetter"/>
      <w:lvlText w:val="%8"/>
      <w:lvlJc w:val="left"/>
      <w:pPr>
        <w:ind w:left="6262"/>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lvl w:ilvl="8" w:tplc="01429246">
      <w:start w:val="1"/>
      <w:numFmt w:val="lowerRoman"/>
      <w:lvlText w:val="%9"/>
      <w:lvlJc w:val="left"/>
      <w:pPr>
        <w:ind w:left="6982"/>
      </w:pPr>
      <w:rPr>
        <w:rFonts w:ascii="Arial" w:eastAsia="Arial" w:hAnsi="Arial" w:cs="Arial"/>
        <w:b/>
        <w:bCs/>
        <w:i w:val="0"/>
        <w:strike w:val="0"/>
        <w:dstrike w:val="0"/>
        <w:color w:val="212121"/>
        <w:sz w:val="22"/>
        <w:szCs w:val="22"/>
        <w:u w:val="none" w:color="000000"/>
        <w:bdr w:val="none" w:sz="0" w:space="0" w:color="auto"/>
        <w:shd w:val="clear" w:color="auto" w:fill="auto"/>
        <w:vertAlign w:val="baseline"/>
      </w:rPr>
    </w:lvl>
  </w:abstractNum>
  <w:abstractNum w:abstractNumId="9" w15:restartNumberingAfterBreak="0">
    <w:nsid w:val="12FF746D"/>
    <w:multiLevelType w:val="hybridMultilevel"/>
    <w:tmpl w:val="6FA45A36"/>
    <w:lvl w:ilvl="0" w:tplc="257EC814">
      <w:start w:val="1"/>
      <w:numFmt w:val="bullet"/>
      <w:lvlText w:val="o"/>
      <w:lvlJc w:val="left"/>
      <w:pPr>
        <w:ind w:left="16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A4EF856">
      <w:start w:val="1"/>
      <w:numFmt w:val="bullet"/>
      <w:lvlText w:val="▪"/>
      <w:lvlJc w:val="left"/>
      <w:pPr>
        <w:ind w:left="23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4C80AB4">
      <w:start w:val="1"/>
      <w:numFmt w:val="bullet"/>
      <w:lvlText w:val="▪"/>
      <w:lvlJc w:val="left"/>
      <w:pPr>
        <w:ind w:left="30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26280E">
      <w:start w:val="1"/>
      <w:numFmt w:val="bullet"/>
      <w:lvlText w:val="•"/>
      <w:lvlJc w:val="left"/>
      <w:pPr>
        <w:ind w:left="37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D1E794C">
      <w:start w:val="1"/>
      <w:numFmt w:val="bullet"/>
      <w:lvlText w:val="o"/>
      <w:lvlJc w:val="left"/>
      <w:pPr>
        <w:ind w:left="45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9D89B44">
      <w:start w:val="1"/>
      <w:numFmt w:val="bullet"/>
      <w:lvlText w:val="▪"/>
      <w:lvlJc w:val="left"/>
      <w:pPr>
        <w:ind w:left="52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3887080">
      <w:start w:val="1"/>
      <w:numFmt w:val="bullet"/>
      <w:lvlText w:val="•"/>
      <w:lvlJc w:val="left"/>
      <w:pPr>
        <w:ind w:left="59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086593A">
      <w:start w:val="1"/>
      <w:numFmt w:val="bullet"/>
      <w:lvlText w:val="o"/>
      <w:lvlJc w:val="left"/>
      <w:pPr>
        <w:ind w:left="66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D0830E0">
      <w:start w:val="1"/>
      <w:numFmt w:val="bullet"/>
      <w:lvlText w:val="▪"/>
      <w:lvlJc w:val="left"/>
      <w:pPr>
        <w:ind w:left="73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32E714C"/>
    <w:multiLevelType w:val="multilevel"/>
    <w:tmpl w:val="718EE6A2"/>
    <w:lvl w:ilvl="0">
      <w:start w:val="11"/>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2"/>
      <w:numFmt w:val="decimal"/>
      <w:lvlText w:val="%1.%2"/>
      <w:lvlJc w:val="left"/>
      <w:pPr>
        <w:ind w:left="36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6"/>
      <w:numFmt w:val="decimal"/>
      <w:lvlRestart w:val="0"/>
      <w:lvlText w:val="%1.%2.%3"/>
      <w:lvlJc w:val="left"/>
      <w:pPr>
        <w:ind w:left="729"/>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08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180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252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24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396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468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11" w15:restartNumberingAfterBreak="0">
    <w:nsid w:val="148D28CA"/>
    <w:multiLevelType w:val="hybridMultilevel"/>
    <w:tmpl w:val="2A4881C6"/>
    <w:lvl w:ilvl="0" w:tplc="0F0466BC">
      <w:start w:val="1"/>
      <w:numFmt w:val="bullet"/>
      <w:lvlText w:val="•"/>
      <w:lvlJc w:val="left"/>
      <w:pPr>
        <w:ind w:left="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DC1648">
      <w:start w:val="1"/>
      <w:numFmt w:val="bullet"/>
      <w:lvlText w:val="o"/>
      <w:lvlJc w:val="left"/>
      <w:pPr>
        <w:ind w:left="15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923422">
      <w:start w:val="1"/>
      <w:numFmt w:val="bullet"/>
      <w:lvlText w:val="▪"/>
      <w:lvlJc w:val="left"/>
      <w:pPr>
        <w:ind w:left="22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4C8A1A">
      <w:start w:val="1"/>
      <w:numFmt w:val="bullet"/>
      <w:lvlText w:val="•"/>
      <w:lvlJc w:val="left"/>
      <w:pPr>
        <w:ind w:left="29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AC964E">
      <w:start w:val="1"/>
      <w:numFmt w:val="bullet"/>
      <w:lvlText w:val="o"/>
      <w:lvlJc w:val="left"/>
      <w:pPr>
        <w:ind w:left="3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028752">
      <w:start w:val="1"/>
      <w:numFmt w:val="bullet"/>
      <w:lvlText w:val="▪"/>
      <w:lvlJc w:val="left"/>
      <w:pPr>
        <w:ind w:left="44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3E22508">
      <w:start w:val="1"/>
      <w:numFmt w:val="bullet"/>
      <w:lvlText w:val="•"/>
      <w:lvlJc w:val="left"/>
      <w:pPr>
        <w:ind w:left="51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60E366">
      <w:start w:val="1"/>
      <w:numFmt w:val="bullet"/>
      <w:lvlText w:val="o"/>
      <w:lvlJc w:val="left"/>
      <w:pPr>
        <w:ind w:left="58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AC0EDE">
      <w:start w:val="1"/>
      <w:numFmt w:val="bullet"/>
      <w:lvlText w:val="▪"/>
      <w:lvlJc w:val="left"/>
      <w:pPr>
        <w:ind w:left="65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6C82F6F"/>
    <w:multiLevelType w:val="multilevel"/>
    <w:tmpl w:val="F728439C"/>
    <w:lvl w:ilvl="0">
      <w:start w:val="8"/>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3"/>
      <w:numFmt w:val="decimal"/>
      <w:lvlText w:val="%1.%2"/>
      <w:lvlJc w:val="left"/>
      <w:pPr>
        <w:ind w:left="63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1"/>
      <w:numFmt w:val="decimal"/>
      <w:lvlRestart w:val="0"/>
      <w:lvlText w:val="%1.%2.%3"/>
      <w:lvlJc w:val="left"/>
      <w:pPr>
        <w:ind w:left="946"/>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62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234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30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78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450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522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13" w15:restartNumberingAfterBreak="0">
    <w:nsid w:val="1814655D"/>
    <w:multiLevelType w:val="hybridMultilevel"/>
    <w:tmpl w:val="F13AF4AE"/>
    <w:lvl w:ilvl="0" w:tplc="53CAE85C">
      <w:start w:val="1"/>
      <w:numFmt w:val="bullet"/>
      <w:lvlText w:val="•"/>
      <w:lvlPicBulletId w:val="0"/>
      <w:lvlJc w:val="left"/>
      <w:pPr>
        <w:ind w:left="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0902862">
      <w:start w:val="1"/>
      <w:numFmt w:val="bullet"/>
      <w:lvlText w:val="o"/>
      <w:lvlJc w:val="left"/>
      <w:pPr>
        <w:ind w:left="16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B304D5C">
      <w:start w:val="1"/>
      <w:numFmt w:val="bullet"/>
      <w:lvlText w:val="▪"/>
      <w:lvlJc w:val="left"/>
      <w:pPr>
        <w:ind w:left="23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062473E">
      <w:start w:val="1"/>
      <w:numFmt w:val="bullet"/>
      <w:lvlText w:val="•"/>
      <w:lvlJc w:val="left"/>
      <w:pPr>
        <w:ind w:left="30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42ACBF0">
      <w:start w:val="1"/>
      <w:numFmt w:val="bullet"/>
      <w:lvlText w:val="o"/>
      <w:lvlJc w:val="left"/>
      <w:pPr>
        <w:ind w:left="37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D304D20">
      <w:start w:val="1"/>
      <w:numFmt w:val="bullet"/>
      <w:lvlText w:val="▪"/>
      <w:lvlJc w:val="left"/>
      <w:pPr>
        <w:ind w:left="45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6528398">
      <w:start w:val="1"/>
      <w:numFmt w:val="bullet"/>
      <w:lvlText w:val="•"/>
      <w:lvlJc w:val="left"/>
      <w:pPr>
        <w:ind w:left="52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F2E78DE">
      <w:start w:val="1"/>
      <w:numFmt w:val="bullet"/>
      <w:lvlText w:val="o"/>
      <w:lvlJc w:val="left"/>
      <w:pPr>
        <w:ind w:left="59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22A1228">
      <w:start w:val="1"/>
      <w:numFmt w:val="bullet"/>
      <w:lvlText w:val="▪"/>
      <w:lvlJc w:val="left"/>
      <w:pPr>
        <w:ind w:left="66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E1C431C"/>
    <w:multiLevelType w:val="hybridMultilevel"/>
    <w:tmpl w:val="B0B8F8BE"/>
    <w:lvl w:ilvl="0" w:tplc="310E4C4C">
      <w:start w:val="1"/>
      <w:numFmt w:val="bullet"/>
      <w:lvlText w:val="o"/>
      <w:lvlJc w:val="left"/>
      <w:pPr>
        <w:ind w:left="11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00ABBC4">
      <w:start w:val="1"/>
      <w:numFmt w:val="bullet"/>
      <w:lvlText w:val="o"/>
      <w:lvlJc w:val="left"/>
      <w:pPr>
        <w:ind w:left="19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904BD86">
      <w:start w:val="1"/>
      <w:numFmt w:val="bullet"/>
      <w:lvlText w:val="▪"/>
      <w:lvlJc w:val="left"/>
      <w:pPr>
        <w:ind w:left="26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9E64E9C">
      <w:start w:val="1"/>
      <w:numFmt w:val="bullet"/>
      <w:lvlText w:val="•"/>
      <w:lvlJc w:val="left"/>
      <w:pPr>
        <w:ind w:left="335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D08F640">
      <w:start w:val="1"/>
      <w:numFmt w:val="bullet"/>
      <w:lvlText w:val="o"/>
      <w:lvlJc w:val="left"/>
      <w:pPr>
        <w:ind w:left="407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4EA752A">
      <w:start w:val="1"/>
      <w:numFmt w:val="bullet"/>
      <w:lvlText w:val="▪"/>
      <w:lvlJc w:val="left"/>
      <w:pPr>
        <w:ind w:left="479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EC0E9AE">
      <w:start w:val="1"/>
      <w:numFmt w:val="bullet"/>
      <w:lvlText w:val="•"/>
      <w:lvlJc w:val="left"/>
      <w:pPr>
        <w:ind w:left="55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7EA0A5E">
      <w:start w:val="1"/>
      <w:numFmt w:val="bullet"/>
      <w:lvlText w:val="o"/>
      <w:lvlJc w:val="left"/>
      <w:pPr>
        <w:ind w:left="62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58AB7EC">
      <w:start w:val="1"/>
      <w:numFmt w:val="bullet"/>
      <w:lvlText w:val="▪"/>
      <w:lvlJc w:val="left"/>
      <w:pPr>
        <w:ind w:left="695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EBB190F"/>
    <w:multiLevelType w:val="hybridMultilevel"/>
    <w:tmpl w:val="0252447A"/>
    <w:lvl w:ilvl="0" w:tplc="4782AF54">
      <w:start w:val="1"/>
      <w:numFmt w:val="bullet"/>
      <w:lvlText w:val="•"/>
      <w:lvlPicBulletId w:val="0"/>
      <w:lvlJc w:val="left"/>
      <w:pPr>
        <w:ind w:left="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824E96">
      <w:start w:val="1"/>
      <w:numFmt w:val="bullet"/>
      <w:lvlText w:val="o"/>
      <w:lvlJc w:val="left"/>
      <w:pPr>
        <w:ind w:left="19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B4EFD0">
      <w:start w:val="1"/>
      <w:numFmt w:val="bullet"/>
      <w:lvlText w:val="▪"/>
      <w:lvlJc w:val="left"/>
      <w:pPr>
        <w:ind w:left="27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3AE666">
      <w:start w:val="1"/>
      <w:numFmt w:val="bullet"/>
      <w:lvlText w:val="•"/>
      <w:lvlJc w:val="left"/>
      <w:pPr>
        <w:ind w:left="3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56212A">
      <w:start w:val="1"/>
      <w:numFmt w:val="bullet"/>
      <w:lvlText w:val="o"/>
      <w:lvlJc w:val="left"/>
      <w:pPr>
        <w:ind w:left="41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AE6B5E0">
      <w:start w:val="1"/>
      <w:numFmt w:val="bullet"/>
      <w:lvlText w:val="▪"/>
      <w:lvlJc w:val="left"/>
      <w:pPr>
        <w:ind w:left="48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B29AB0">
      <w:start w:val="1"/>
      <w:numFmt w:val="bullet"/>
      <w:lvlText w:val="•"/>
      <w:lvlJc w:val="left"/>
      <w:pPr>
        <w:ind w:left="55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6659B6">
      <w:start w:val="1"/>
      <w:numFmt w:val="bullet"/>
      <w:lvlText w:val="o"/>
      <w:lvlJc w:val="left"/>
      <w:pPr>
        <w:ind w:left="6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1FA9E3C">
      <w:start w:val="1"/>
      <w:numFmt w:val="bullet"/>
      <w:lvlText w:val="▪"/>
      <w:lvlJc w:val="left"/>
      <w:pPr>
        <w:ind w:left="70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0A04CE9"/>
    <w:multiLevelType w:val="hybridMultilevel"/>
    <w:tmpl w:val="8BA6DF6A"/>
    <w:lvl w:ilvl="0" w:tplc="8C2CD844">
      <w:start w:val="1"/>
      <w:numFmt w:val="bullet"/>
      <w:lvlText w:val="•"/>
      <w:lvlPicBulletId w:val="0"/>
      <w:lvlJc w:val="left"/>
      <w:pPr>
        <w:ind w:left="8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CA79B4">
      <w:start w:val="1"/>
      <w:numFmt w:val="bullet"/>
      <w:lvlText w:val="o"/>
      <w:lvlJc w:val="left"/>
      <w:pPr>
        <w:ind w:left="19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EAADDF2">
      <w:start w:val="1"/>
      <w:numFmt w:val="bullet"/>
      <w:lvlText w:val="▪"/>
      <w:lvlJc w:val="left"/>
      <w:pPr>
        <w:ind w:left="26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9E3158">
      <w:start w:val="1"/>
      <w:numFmt w:val="bullet"/>
      <w:lvlText w:val="•"/>
      <w:lvlJc w:val="left"/>
      <w:pPr>
        <w:ind w:left="33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5A83798">
      <w:start w:val="1"/>
      <w:numFmt w:val="bullet"/>
      <w:lvlText w:val="o"/>
      <w:lvlJc w:val="left"/>
      <w:pPr>
        <w:ind w:left="40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8C0028">
      <w:start w:val="1"/>
      <w:numFmt w:val="bullet"/>
      <w:lvlText w:val="▪"/>
      <w:lvlJc w:val="left"/>
      <w:pPr>
        <w:ind w:left="47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F83EC2">
      <w:start w:val="1"/>
      <w:numFmt w:val="bullet"/>
      <w:lvlText w:val="•"/>
      <w:lvlJc w:val="left"/>
      <w:pPr>
        <w:ind w:left="55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0CE8B6">
      <w:start w:val="1"/>
      <w:numFmt w:val="bullet"/>
      <w:lvlText w:val="o"/>
      <w:lvlJc w:val="left"/>
      <w:pPr>
        <w:ind w:left="62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C0517E">
      <w:start w:val="1"/>
      <w:numFmt w:val="bullet"/>
      <w:lvlText w:val="▪"/>
      <w:lvlJc w:val="left"/>
      <w:pPr>
        <w:ind w:left="69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0B74E2D"/>
    <w:multiLevelType w:val="multilevel"/>
    <w:tmpl w:val="CB7258EC"/>
    <w:lvl w:ilvl="0">
      <w:start w:val="9"/>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2"/>
      <w:numFmt w:val="decimal"/>
      <w:lvlText w:val="%1.%2"/>
      <w:lvlJc w:val="left"/>
      <w:pPr>
        <w:ind w:left="63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2"/>
      <w:numFmt w:val="decimal"/>
      <w:lvlRestart w:val="0"/>
      <w:lvlText w:val="%1.%2.%3"/>
      <w:lvlJc w:val="left"/>
      <w:pPr>
        <w:ind w:left="55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62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234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306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78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450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522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18" w15:restartNumberingAfterBreak="0">
    <w:nsid w:val="279E1FBD"/>
    <w:multiLevelType w:val="multilevel"/>
    <w:tmpl w:val="78EC9542"/>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3"/>
      <w:numFmt w:val="decimal"/>
      <w:lvlText w:val="%1.%2.%3"/>
      <w:lvlJc w:val="left"/>
      <w:pPr>
        <w:ind w:left="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2"/>
      <w:numFmt w:val="decimal"/>
      <w:lvlText w:val="%1.%2.%3.%4"/>
      <w:lvlJc w:val="left"/>
      <w:pPr>
        <w:ind w:left="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D362EF6"/>
    <w:multiLevelType w:val="hybridMultilevel"/>
    <w:tmpl w:val="820EB210"/>
    <w:lvl w:ilvl="0" w:tplc="A9C43A4A">
      <w:start w:val="1"/>
      <w:numFmt w:val="bullet"/>
      <w:lvlText w:val="•"/>
      <w:lvlJc w:val="left"/>
      <w:pPr>
        <w:ind w:left="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2254E8">
      <w:start w:val="1"/>
      <w:numFmt w:val="bullet"/>
      <w:lvlText w:val="o"/>
      <w:lvlJc w:val="left"/>
      <w:pPr>
        <w:ind w:left="1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6A4152">
      <w:start w:val="1"/>
      <w:numFmt w:val="bullet"/>
      <w:lvlText w:val="▪"/>
      <w:lvlJc w:val="left"/>
      <w:pPr>
        <w:ind w:left="23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8CD660">
      <w:start w:val="1"/>
      <w:numFmt w:val="bullet"/>
      <w:lvlText w:val="•"/>
      <w:lvlJc w:val="left"/>
      <w:pPr>
        <w:ind w:left="3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6E7B48">
      <w:start w:val="1"/>
      <w:numFmt w:val="bullet"/>
      <w:lvlText w:val="o"/>
      <w:lvlJc w:val="left"/>
      <w:pPr>
        <w:ind w:left="37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24A770">
      <w:start w:val="1"/>
      <w:numFmt w:val="bullet"/>
      <w:lvlText w:val="▪"/>
      <w:lvlJc w:val="left"/>
      <w:pPr>
        <w:ind w:left="4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FACEAE">
      <w:start w:val="1"/>
      <w:numFmt w:val="bullet"/>
      <w:lvlText w:val="•"/>
      <w:lvlJc w:val="left"/>
      <w:pPr>
        <w:ind w:left="52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46A42A">
      <w:start w:val="1"/>
      <w:numFmt w:val="bullet"/>
      <w:lvlText w:val="o"/>
      <w:lvlJc w:val="left"/>
      <w:pPr>
        <w:ind w:left="59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FCB0D8">
      <w:start w:val="1"/>
      <w:numFmt w:val="bullet"/>
      <w:lvlText w:val="▪"/>
      <w:lvlJc w:val="left"/>
      <w:pPr>
        <w:ind w:left="6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DB53306"/>
    <w:multiLevelType w:val="multilevel"/>
    <w:tmpl w:val="61961E2E"/>
    <w:lvl w:ilvl="0">
      <w:start w:val="12"/>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6"/>
      <w:numFmt w:val="decimal"/>
      <w:lvlText w:val="%1.%2"/>
      <w:lvlJc w:val="left"/>
      <w:pPr>
        <w:ind w:left="36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1"/>
      <w:numFmt w:val="decimal"/>
      <w:lvlRestart w:val="0"/>
      <w:lvlText w:val="%1.%2.%3"/>
      <w:lvlJc w:val="left"/>
      <w:pPr>
        <w:ind w:left="729"/>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08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180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252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24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396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468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21" w15:restartNumberingAfterBreak="0">
    <w:nsid w:val="2F84161B"/>
    <w:multiLevelType w:val="hybridMultilevel"/>
    <w:tmpl w:val="6C906458"/>
    <w:lvl w:ilvl="0" w:tplc="1E9E1CAE">
      <w:start w:val="1"/>
      <w:numFmt w:val="bullet"/>
      <w:lvlText w:val="•"/>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A0D96A">
      <w:start w:val="1"/>
      <w:numFmt w:val="bullet"/>
      <w:lvlText w:val="o"/>
      <w:lvlJc w:val="left"/>
      <w:pPr>
        <w:ind w:left="2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F4009A8">
      <w:start w:val="1"/>
      <w:numFmt w:val="bullet"/>
      <w:lvlText w:val="▪"/>
      <w:lvlJc w:val="left"/>
      <w:pPr>
        <w:ind w:left="2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3E8992">
      <w:start w:val="1"/>
      <w:numFmt w:val="bullet"/>
      <w:lvlText w:val="•"/>
      <w:lvlJc w:val="left"/>
      <w:pPr>
        <w:ind w:left="3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68314C">
      <w:start w:val="1"/>
      <w:numFmt w:val="bullet"/>
      <w:lvlText w:val="o"/>
      <w:lvlJc w:val="left"/>
      <w:pPr>
        <w:ind w:left="4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FAA440">
      <w:start w:val="1"/>
      <w:numFmt w:val="bullet"/>
      <w:lvlText w:val="▪"/>
      <w:lvlJc w:val="left"/>
      <w:pPr>
        <w:ind w:left="5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1E4B4C">
      <w:start w:val="1"/>
      <w:numFmt w:val="bullet"/>
      <w:lvlText w:val="•"/>
      <w:lvlJc w:val="left"/>
      <w:pPr>
        <w:ind w:left="5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005CF6">
      <w:start w:val="1"/>
      <w:numFmt w:val="bullet"/>
      <w:lvlText w:val="o"/>
      <w:lvlJc w:val="left"/>
      <w:pPr>
        <w:ind w:left="6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06CC74">
      <w:start w:val="1"/>
      <w:numFmt w:val="bullet"/>
      <w:lvlText w:val="▪"/>
      <w:lvlJc w:val="left"/>
      <w:pPr>
        <w:ind w:left="7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F9E0F49"/>
    <w:multiLevelType w:val="hybridMultilevel"/>
    <w:tmpl w:val="3D9CFF6C"/>
    <w:lvl w:ilvl="0" w:tplc="566833E8">
      <w:start w:val="1"/>
      <w:numFmt w:val="decimal"/>
      <w:lvlText w:val="%1."/>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22D108">
      <w:start w:val="1"/>
      <w:numFmt w:val="lowerLetter"/>
      <w:lvlText w:val="%2"/>
      <w:lvlJc w:val="left"/>
      <w:pPr>
        <w:ind w:left="1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624FB68">
      <w:start w:val="1"/>
      <w:numFmt w:val="lowerRoman"/>
      <w:lvlText w:val="%3"/>
      <w:lvlJc w:val="left"/>
      <w:pPr>
        <w:ind w:left="19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782AC58">
      <w:start w:val="1"/>
      <w:numFmt w:val="decimal"/>
      <w:lvlText w:val="%4"/>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701EFC">
      <w:start w:val="1"/>
      <w:numFmt w:val="lowerLetter"/>
      <w:lvlText w:val="%5"/>
      <w:lvlJc w:val="left"/>
      <w:pPr>
        <w:ind w:left="3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A42BEA">
      <w:start w:val="1"/>
      <w:numFmt w:val="lowerRoman"/>
      <w:lvlText w:val="%6"/>
      <w:lvlJc w:val="left"/>
      <w:pPr>
        <w:ind w:left="4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7603BC">
      <w:start w:val="1"/>
      <w:numFmt w:val="decimal"/>
      <w:lvlText w:val="%7"/>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288C8E">
      <w:start w:val="1"/>
      <w:numFmt w:val="lowerLetter"/>
      <w:lvlText w:val="%8"/>
      <w:lvlJc w:val="left"/>
      <w:pPr>
        <w:ind w:left="5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1166A0E">
      <w:start w:val="1"/>
      <w:numFmt w:val="lowerRoman"/>
      <w:lvlText w:val="%9"/>
      <w:lvlJc w:val="left"/>
      <w:pPr>
        <w:ind w:left="6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39E6CE3"/>
    <w:multiLevelType w:val="hybridMultilevel"/>
    <w:tmpl w:val="F91ADF3C"/>
    <w:lvl w:ilvl="0" w:tplc="BB4CCE82">
      <w:start w:val="1"/>
      <w:numFmt w:val="bullet"/>
      <w:lvlText w:val="•"/>
      <w:lvlPicBulletId w:val="0"/>
      <w:lvlJc w:val="left"/>
      <w:pPr>
        <w:ind w:left="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1AED3C">
      <w:start w:val="1"/>
      <w:numFmt w:val="bullet"/>
      <w:lvlText w:val="o"/>
      <w:lvlJc w:val="left"/>
      <w:pPr>
        <w:ind w:left="19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126AEC">
      <w:start w:val="1"/>
      <w:numFmt w:val="bullet"/>
      <w:lvlText w:val="▪"/>
      <w:lvlJc w:val="left"/>
      <w:pPr>
        <w:ind w:left="26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286B5D0">
      <w:start w:val="1"/>
      <w:numFmt w:val="bullet"/>
      <w:lvlText w:val="•"/>
      <w:lvlJc w:val="left"/>
      <w:pPr>
        <w:ind w:left="33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F2794A">
      <w:start w:val="1"/>
      <w:numFmt w:val="bullet"/>
      <w:lvlText w:val="o"/>
      <w:lvlJc w:val="left"/>
      <w:pPr>
        <w:ind w:left="41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68FD22">
      <w:start w:val="1"/>
      <w:numFmt w:val="bullet"/>
      <w:lvlText w:val="▪"/>
      <w:lvlJc w:val="left"/>
      <w:pPr>
        <w:ind w:left="48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D4BE24">
      <w:start w:val="1"/>
      <w:numFmt w:val="bullet"/>
      <w:lvlText w:val="•"/>
      <w:lvlJc w:val="left"/>
      <w:pPr>
        <w:ind w:left="55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326684">
      <w:start w:val="1"/>
      <w:numFmt w:val="bullet"/>
      <w:lvlText w:val="o"/>
      <w:lvlJc w:val="left"/>
      <w:pPr>
        <w:ind w:left="62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BA9844">
      <w:start w:val="1"/>
      <w:numFmt w:val="bullet"/>
      <w:lvlText w:val="▪"/>
      <w:lvlJc w:val="left"/>
      <w:pPr>
        <w:ind w:left="69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C541AF6"/>
    <w:multiLevelType w:val="hybridMultilevel"/>
    <w:tmpl w:val="19CC12AA"/>
    <w:lvl w:ilvl="0" w:tplc="5A7006B6">
      <w:start w:val="1"/>
      <w:numFmt w:val="bullet"/>
      <w:lvlText w:val="o"/>
      <w:lvlJc w:val="left"/>
      <w:pPr>
        <w:ind w:left="16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93E059E">
      <w:start w:val="1"/>
      <w:numFmt w:val="bullet"/>
      <w:lvlText w:val="o"/>
      <w:lvlJc w:val="left"/>
      <w:pPr>
        <w:ind w:left="23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8C0B38E">
      <w:start w:val="1"/>
      <w:numFmt w:val="bullet"/>
      <w:lvlText w:val="▪"/>
      <w:lvlJc w:val="left"/>
      <w:pPr>
        <w:ind w:left="30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5FC760C">
      <w:start w:val="1"/>
      <w:numFmt w:val="bullet"/>
      <w:lvlText w:val="•"/>
      <w:lvlJc w:val="left"/>
      <w:pPr>
        <w:ind w:left="37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9A4650C">
      <w:start w:val="1"/>
      <w:numFmt w:val="bullet"/>
      <w:lvlText w:val="o"/>
      <w:lvlJc w:val="left"/>
      <w:pPr>
        <w:ind w:left="45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C7ACD6C">
      <w:start w:val="1"/>
      <w:numFmt w:val="bullet"/>
      <w:lvlText w:val="▪"/>
      <w:lvlJc w:val="left"/>
      <w:pPr>
        <w:ind w:left="52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75AE166">
      <w:start w:val="1"/>
      <w:numFmt w:val="bullet"/>
      <w:lvlText w:val="•"/>
      <w:lvlJc w:val="left"/>
      <w:pPr>
        <w:ind w:left="59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C420A74">
      <w:start w:val="1"/>
      <w:numFmt w:val="bullet"/>
      <w:lvlText w:val="o"/>
      <w:lvlJc w:val="left"/>
      <w:pPr>
        <w:ind w:left="66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BE00AA4">
      <w:start w:val="1"/>
      <w:numFmt w:val="bullet"/>
      <w:lvlText w:val="▪"/>
      <w:lvlJc w:val="left"/>
      <w:pPr>
        <w:ind w:left="73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2DE6FBF"/>
    <w:multiLevelType w:val="hybridMultilevel"/>
    <w:tmpl w:val="67E6812E"/>
    <w:lvl w:ilvl="0" w:tplc="5B7C15F0">
      <w:start w:val="1"/>
      <w:numFmt w:val="bullet"/>
      <w:lvlText w:val="-"/>
      <w:lvlJc w:val="left"/>
      <w:pPr>
        <w:ind w:left="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60E682">
      <w:start w:val="1"/>
      <w:numFmt w:val="bullet"/>
      <w:lvlText w:val="o"/>
      <w:lvlJc w:val="left"/>
      <w:pPr>
        <w:ind w:left="1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3A7964">
      <w:start w:val="1"/>
      <w:numFmt w:val="bullet"/>
      <w:lvlText w:val="▪"/>
      <w:lvlJc w:val="left"/>
      <w:pPr>
        <w:ind w:left="1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C04E6EC">
      <w:start w:val="1"/>
      <w:numFmt w:val="bullet"/>
      <w:lvlText w:val="•"/>
      <w:lvlJc w:val="left"/>
      <w:pPr>
        <w:ind w:left="2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36B716">
      <w:start w:val="1"/>
      <w:numFmt w:val="bullet"/>
      <w:lvlText w:val="o"/>
      <w:lvlJc w:val="left"/>
      <w:pPr>
        <w:ind w:left="33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6CC8DE">
      <w:start w:val="1"/>
      <w:numFmt w:val="bullet"/>
      <w:lvlText w:val="▪"/>
      <w:lvlJc w:val="left"/>
      <w:pPr>
        <w:ind w:left="4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EC42DD2">
      <w:start w:val="1"/>
      <w:numFmt w:val="bullet"/>
      <w:lvlText w:val="•"/>
      <w:lvlJc w:val="left"/>
      <w:pPr>
        <w:ind w:left="4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92EE46">
      <w:start w:val="1"/>
      <w:numFmt w:val="bullet"/>
      <w:lvlText w:val="o"/>
      <w:lvlJc w:val="left"/>
      <w:pPr>
        <w:ind w:left="5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70C6990">
      <w:start w:val="1"/>
      <w:numFmt w:val="bullet"/>
      <w:lvlText w:val="▪"/>
      <w:lvlJc w:val="left"/>
      <w:pPr>
        <w:ind w:left="6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5575C58"/>
    <w:multiLevelType w:val="multilevel"/>
    <w:tmpl w:val="E3746C5E"/>
    <w:lvl w:ilvl="0">
      <w:start w:val="13"/>
      <w:numFmt w:val="decimal"/>
      <w:lvlText w:val="%1."/>
      <w:lvlJc w:val="left"/>
      <w:pPr>
        <w:ind w:left="269"/>
      </w:pPr>
      <w:rPr>
        <w:rFonts w:ascii="Arial" w:eastAsia="Arial" w:hAnsi="Arial" w:cs="Arial"/>
        <w:b/>
        <w:bCs/>
        <w:i w:val="0"/>
        <w:strike w:val="0"/>
        <w:dstrike w:val="0"/>
        <w:color w:val="0000FF"/>
        <w:sz w:val="16"/>
        <w:szCs w:val="16"/>
        <w:u w:val="none" w:color="000000"/>
        <w:bdr w:val="none" w:sz="0" w:space="0" w:color="auto"/>
        <w:shd w:val="clear" w:color="auto" w:fill="auto"/>
        <w:vertAlign w:val="baseline"/>
      </w:rPr>
    </w:lvl>
    <w:lvl w:ilvl="1">
      <w:start w:val="1"/>
      <w:numFmt w:val="decimal"/>
      <w:lvlText w:val="%1.%2"/>
      <w:lvlJc w:val="left"/>
      <w:pPr>
        <w:ind w:left="1080"/>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2">
      <w:start w:val="1"/>
      <w:numFmt w:val="decimal"/>
      <w:lvlText w:val="%1.%2.%3"/>
      <w:lvlJc w:val="left"/>
      <w:pPr>
        <w:ind w:left="193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08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180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252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24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396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468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27" w15:restartNumberingAfterBreak="0">
    <w:nsid w:val="4B7762B5"/>
    <w:multiLevelType w:val="hybridMultilevel"/>
    <w:tmpl w:val="0B343E72"/>
    <w:lvl w:ilvl="0" w:tplc="EA66E688">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14FDF4">
      <w:start w:val="1"/>
      <w:numFmt w:val="bullet"/>
      <w:lvlText w:val="o"/>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E81DF6">
      <w:start w:val="1"/>
      <w:numFmt w:val="bullet"/>
      <w:lvlText w:val="▪"/>
      <w:lvlJc w:val="left"/>
      <w:pPr>
        <w:ind w:left="26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44D176">
      <w:start w:val="1"/>
      <w:numFmt w:val="bullet"/>
      <w:lvlText w:val="•"/>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3E4000">
      <w:start w:val="1"/>
      <w:numFmt w:val="bullet"/>
      <w:lvlText w:val="o"/>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804464">
      <w:start w:val="1"/>
      <w:numFmt w:val="bullet"/>
      <w:lvlText w:val="▪"/>
      <w:lvlJc w:val="left"/>
      <w:pPr>
        <w:ind w:left="48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B6ED9C">
      <w:start w:val="1"/>
      <w:numFmt w:val="bullet"/>
      <w:lvlText w:val="•"/>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404C8A">
      <w:start w:val="1"/>
      <w:numFmt w:val="bullet"/>
      <w:lvlText w:val="o"/>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3202D2">
      <w:start w:val="1"/>
      <w:numFmt w:val="bullet"/>
      <w:lvlText w:val="▪"/>
      <w:lvlJc w:val="left"/>
      <w:pPr>
        <w:ind w:left="6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EE3847"/>
    <w:multiLevelType w:val="hybridMultilevel"/>
    <w:tmpl w:val="6CEADD4A"/>
    <w:lvl w:ilvl="0" w:tplc="EAAEA4F6">
      <w:start w:val="1"/>
      <w:numFmt w:val="bullet"/>
      <w:lvlText w:val="•"/>
      <w:lvlPicBulletId w:val="0"/>
      <w:lvlJc w:val="left"/>
      <w:pPr>
        <w:ind w:left="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73A4F6A">
      <w:start w:val="1"/>
      <w:numFmt w:val="bullet"/>
      <w:lvlText w:val="o"/>
      <w:lvlJc w:val="left"/>
      <w:pPr>
        <w:ind w:left="19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22C684">
      <w:start w:val="1"/>
      <w:numFmt w:val="bullet"/>
      <w:lvlText w:val="▪"/>
      <w:lvlJc w:val="left"/>
      <w:pPr>
        <w:ind w:left="27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F3E1BA8">
      <w:start w:val="1"/>
      <w:numFmt w:val="bullet"/>
      <w:lvlText w:val="•"/>
      <w:lvlJc w:val="left"/>
      <w:pPr>
        <w:ind w:left="3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D00784">
      <w:start w:val="1"/>
      <w:numFmt w:val="bullet"/>
      <w:lvlText w:val="o"/>
      <w:lvlJc w:val="left"/>
      <w:pPr>
        <w:ind w:left="41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DEE244">
      <w:start w:val="1"/>
      <w:numFmt w:val="bullet"/>
      <w:lvlText w:val="▪"/>
      <w:lvlJc w:val="left"/>
      <w:pPr>
        <w:ind w:left="48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347026">
      <w:start w:val="1"/>
      <w:numFmt w:val="bullet"/>
      <w:lvlText w:val="•"/>
      <w:lvlJc w:val="left"/>
      <w:pPr>
        <w:ind w:left="55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5405C2">
      <w:start w:val="1"/>
      <w:numFmt w:val="bullet"/>
      <w:lvlText w:val="o"/>
      <w:lvlJc w:val="left"/>
      <w:pPr>
        <w:ind w:left="6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DC8C80">
      <w:start w:val="1"/>
      <w:numFmt w:val="bullet"/>
      <w:lvlText w:val="▪"/>
      <w:lvlJc w:val="left"/>
      <w:pPr>
        <w:ind w:left="70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CAB06DF"/>
    <w:multiLevelType w:val="hybridMultilevel"/>
    <w:tmpl w:val="96327AF6"/>
    <w:lvl w:ilvl="0" w:tplc="AB22B334">
      <w:start w:val="1"/>
      <w:numFmt w:val="bullet"/>
      <w:lvlText w:val="•"/>
      <w:lvlPicBulletId w:val="0"/>
      <w:lvlJc w:val="left"/>
      <w:pPr>
        <w:ind w:left="11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7821E6">
      <w:start w:val="1"/>
      <w:numFmt w:val="bullet"/>
      <w:lvlText w:val="o"/>
      <w:lvlJc w:val="left"/>
      <w:pPr>
        <w:ind w:left="2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4A85BC">
      <w:start w:val="1"/>
      <w:numFmt w:val="bullet"/>
      <w:lvlText w:val="▪"/>
      <w:lvlJc w:val="left"/>
      <w:pPr>
        <w:ind w:left="2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60A8EA">
      <w:start w:val="1"/>
      <w:numFmt w:val="bullet"/>
      <w:lvlText w:val="•"/>
      <w:lvlJc w:val="left"/>
      <w:pPr>
        <w:ind w:left="3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809AC2">
      <w:start w:val="1"/>
      <w:numFmt w:val="bullet"/>
      <w:lvlText w:val="o"/>
      <w:lvlJc w:val="left"/>
      <w:pPr>
        <w:ind w:left="4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5C87F2">
      <w:start w:val="1"/>
      <w:numFmt w:val="bullet"/>
      <w:lvlText w:val="▪"/>
      <w:lvlJc w:val="left"/>
      <w:pPr>
        <w:ind w:left="5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06A790">
      <w:start w:val="1"/>
      <w:numFmt w:val="bullet"/>
      <w:lvlText w:val="•"/>
      <w:lvlJc w:val="left"/>
      <w:pPr>
        <w:ind w:left="5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38F554">
      <w:start w:val="1"/>
      <w:numFmt w:val="bullet"/>
      <w:lvlText w:val="o"/>
      <w:lvlJc w:val="left"/>
      <w:pPr>
        <w:ind w:left="6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6EE882">
      <w:start w:val="1"/>
      <w:numFmt w:val="bullet"/>
      <w:lvlText w:val="▪"/>
      <w:lvlJc w:val="left"/>
      <w:pPr>
        <w:ind w:left="7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E431DDB"/>
    <w:multiLevelType w:val="hybridMultilevel"/>
    <w:tmpl w:val="FDD8DC78"/>
    <w:lvl w:ilvl="0" w:tplc="AA18E092">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1A83A4">
      <w:start w:val="1"/>
      <w:numFmt w:val="bullet"/>
      <w:lvlText w:val="o"/>
      <w:lvlJc w:val="left"/>
      <w:pPr>
        <w:ind w:left="5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0B6B952">
      <w:start w:val="1"/>
      <w:numFmt w:val="bullet"/>
      <w:lvlText w:val="▪"/>
      <w:lvlJc w:val="left"/>
      <w:pPr>
        <w:ind w:left="15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D8ABB88">
      <w:start w:val="1"/>
      <w:numFmt w:val="bullet"/>
      <w:lvlText w:val="•"/>
      <w:lvlJc w:val="left"/>
      <w:pPr>
        <w:ind w:left="22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176CAB4">
      <w:start w:val="1"/>
      <w:numFmt w:val="bullet"/>
      <w:lvlText w:val="o"/>
      <w:lvlJc w:val="left"/>
      <w:pPr>
        <w:ind w:left="29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70A2DD8">
      <w:start w:val="1"/>
      <w:numFmt w:val="bullet"/>
      <w:lvlText w:val="▪"/>
      <w:lvlJc w:val="left"/>
      <w:pPr>
        <w:ind w:left="36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422CFA0">
      <w:start w:val="1"/>
      <w:numFmt w:val="bullet"/>
      <w:lvlText w:val="•"/>
      <w:lvlJc w:val="left"/>
      <w:pPr>
        <w:ind w:left="43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7A854BC">
      <w:start w:val="1"/>
      <w:numFmt w:val="bullet"/>
      <w:lvlText w:val="o"/>
      <w:lvlJc w:val="left"/>
      <w:pPr>
        <w:ind w:left="51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C6ED30C">
      <w:start w:val="1"/>
      <w:numFmt w:val="bullet"/>
      <w:lvlText w:val="▪"/>
      <w:lvlJc w:val="left"/>
      <w:pPr>
        <w:ind w:left="58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24038ED"/>
    <w:multiLevelType w:val="hybridMultilevel"/>
    <w:tmpl w:val="2D4ADF66"/>
    <w:lvl w:ilvl="0" w:tplc="E1BCAF18">
      <w:start w:val="1"/>
      <w:numFmt w:val="bullet"/>
      <w:lvlText w:val="•"/>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0E164A">
      <w:start w:val="1"/>
      <w:numFmt w:val="bullet"/>
      <w:lvlText w:val="o"/>
      <w:lvlJc w:val="left"/>
      <w:pPr>
        <w:ind w:left="11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E0A100">
      <w:start w:val="1"/>
      <w:numFmt w:val="bullet"/>
      <w:lvlText w:val="▪"/>
      <w:lvlJc w:val="left"/>
      <w:pPr>
        <w:ind w:left="18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6AC308">
      <w:start w:val="1"/>
      <w:numFmt w:val="bullet"/>
      <w:lvlText w:val="•"/>
      <w:lvlJc w:val="left"/>
      <w:pPr>
        <w:ind w:left="25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80ABEE">
      <w:start w:val="1"/>
      <w:numFmt w:val="bullet"/>
      <w:lvlText w:val="o"/>
      <w:lvlJc w:val="left"/>
      <w:pPr>
        <w:ind w:left="33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56F256">
      <w:start w:val="1"/>
      <w:numFmt w:val="bullet"/>
      <w:lvlText w:val="▪"/>
      <w:lvlJc w:val="left"/>
      <w:pPr>
        <w:ind w:left="40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9E7E50">
      <w:start w:val="1"/>
      <w:numFmt w:val="bullet"/>
      <w:lvlText w:val="•"/>
      <w:lvlJc w:val="left"/>
      <w:pPr>
        <w:ind w:left="47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9EA92C">
      <w:start w:val="1"/>
      <w:numFmt w:val="bullet"/>
      <w:lvlText w:val="o"/>
      <w:lvlJc w:val="left"/>
      <w:pPr>
        <w:ind w:left="54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A8E272">
      <w:start w:val="1"/>
      <w:numFmt w:val="bullet"/>
      <w:lvlText w:val="▪"/>
      <w:lvlJc w:val="left"/>
      <w:pPr>
        <w:ind w:left="61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3EC4CD1"/>
    <w:multiLevelType w:val="multilevel"/>
    <w:tmpl w:val="7B9A4C74"/>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6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4"/>
      <w:numFmt w:val="decimal"/>
      <w:lvlText w:val="%1.%2.%3"/>
      <w:lvlJc w:val="left"/>
      <w:pPr>
        <w:ind w:left="1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44058FF"/>
    <w:multiLevelType w:val="hybridMultilevel"/>
    <w:tmpl w:val="CF8A5B6A"/>
    <w:lvl w:ilvl="0" w:tplc="793EC382">
      <w:start w:val="1"/>
      <w:numFmt w:val="bullet"/>
      <w:lvlText w:val="•"/>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10ACF2">
      <w:start w:val="1"/>
      <w:numFmt w:val="bullet"/>
      <w:lvlText w:val="o"/>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C4C644">
      <w:start w:val="1"/>
      <w:numFmt w:val="bullet"/>
      <w:lvlText w:val="▪"/>
      <w:lvlJc w:val="left"/>
      <w:pPr>
        <w:ind w:left="26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6A86F0">
      <w:start w:val="1"/>
      <w:numFmt w:val="bullet"/>
      <w:lvlText w:val="•"/>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A2B68A">
      <w:start w:val="1"/>
      <w:numFmt w:val="bullet"/>
      <w:lvlText w:val="o"/>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0039C6">
      <w:start w:val="1"/>
      <w:numFmt w:val="bullet"/>
      <w:lvlText w:val="▪"/>
      <w:lvlJc w:val="left"/>
      <w:pPr>
        <w:ind w:left="48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EA5360">
      <w:start w:val="1"/>
      <w:numFmt w:val="bullet"/>
      <w:lvlText w:val="•"/>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80B2C6">
      <w:start w:val="1"/>
      <w:numFmt w:val="bullet"/>
      <w:lvlText w:val="o"/>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546758">
      <w:start w:val="1"/>
      <w:numFmt w:val="bullet"/>
      <w:lvlText w:val="▪"/>
      <w:lvlJc w:val="left"/>
      <w:pPr>
        <w:ind w:left="6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5560029"/>
    <w:multiLevelType w:val="hybridMultilevel"/>
    <w:tmpl w:val="B95C718A"/>
    <w:lvl w:ilvl="0" w:tplc="5FFCC202">
      <w:start w:val="1"/>
      <w:numFmt w:val="decimal"/>
      <w:lvlText w:val="%1."/>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9E9DEE">
      <w:start w:val="1"/>
      <w:numFmt w:val="lowerLetter"/>
      <w:lvlText w:val="%2"/>
      <w:lvlJc w:val="left"/>
      <w:pPr>
        <w:ind w:left="1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F236FC">
      <w:start w:val="1"/>
      <w:numFmt w:val="lowerRoman"/>
      <w:lvlText w:val="%3"/>
      <w:lvlJc w:val="left"/>
      <w:pPr>
        <w:ind w:left="1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CA8136A">
      <w:start w:val="1"/>
      <w:numFmt w:val="decimal"/>
      <w:lvlText w:val="%4"/>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22144">
      <w:start w:val="1"/>
      <w:numFmt w:val="lowerLetter"/>
      <w:lvlText w:val="%5"/>
      <w:lvlJc w:val="left"/>
      <w:pPr>
        <w:ind w:left="3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483622">
      <w:start w:val="1"/>
      <w:numFmt w:val="lowerRoman"/>
      <w:lvlText w:val="%6"/>
      <w:lvlJc w:val="left"/>
      <w:pPr>
        <w:ind w:left="4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D2A52E">
      <w:start w:val="1"/>
      <w:numFmt w:val="decimal"/>
      <w:lvlText w:val="%7"/>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D433A8">
      <w:start w:val="1"/>
      <w:numFmt w:val="lowerLetter"/>
      <w:lvlText w:val="%8"/>
      <w:lvlJc w:val="left"/>
      <w:pPr>
        <w:ind w:left="5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9E5E34">
      <w:start w:val="1"/>
      <w:numFmt w:val="lowerRoman"/>
      <w:lvlText w:val="%9"/>
      <w:lvlJc w:val="left"/>
      <w:pPr>
        <w:ind w:left="6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888311C"/>
    <w:multiLevelType w:val="multilevel"/>
    <w:tmpl w:val="7CE862B4"/>
    <w:lvl w:ilvl="0">
      <w:start w:val="5"/>
      <w:numFmt w:val="decimal"/>
      <w:lvlText w:val="%1."/>
      <w:lvlJc w:val="left"/>
      <w:pPr>
        <w:ind w:left="809"/>
      </w:pPr>
      <w:rPr>
        <w:rFonts w:ascii="Arial" w:eastAsia="Arial" w:hAnsi="Arial" w:cs="Arial"/>
        <w:b/>
        <w:bCs/>
        <w:i w:val="0"/>
        <w:strike w:val="0"/>
        <w:dstrike w:val="0"/>
        <w:color w:val="0000FF"/>
        <w:sz w:val="16"/>
        <w:szCs w:val="16"/>
        <w:u w:val="none" w:color="000000"/>
        <w:bdr w:val="none" w:sz="0" w:space="0" w:color="auto"/>
        <w:shd w:val="clear" w:color="auto" w:fill="auto"/>
        <w:vertAlign w:val="baseline"/>
      </w:rPr>
    </w:lvl>
    <w:lvl w:ilvl="1">
      <w:start w:val="1"/>
      <w:numFmt w:val="decimal"/>
      <w:lvlText w:val="%1.%2"/>
      <w:lvlJc w:val="left"/>
      <w:pPr>
        <w:ind w:left="898"/>
      </w:pPr>
      <w:rPr>
        <w:rFonts w:ascii="Arial" w:eastAsia="Arial" w:hAnsi="Arial" w:cs="Arial"/>
        <w:b w:val="0"/>
        <w:i w:val="0"/>
        <w:strike w:val="0"/>
        <w:dstrike w:val="0"/>
        <w:color w:val="FF0000"/>
        <w:sz w:val="16"/>
        <w:szCs w:val="16"/>
        <w:u w:val="none" w:color="000000"/>
        <w:bdr w:val="none" w:sz="0" w:space="0" w:color="auto"/>
        <w:shd w:val="clear" w:color="auto" w:fill="auto"/>
        <w:vertAlign w:val="baseline"/>
      </w:rPr>
    </w:lvl>
    <w:lvl w:ilvl="2">
      <w:start w:val="1"/>
      <w:numFmt w:val="decimal"/>
      <w:lvlText w:val="%1.%2.%3"/>
      <w:lvlJc w:val="left"/>
      <w:pPr>
        <w:ind w:left="103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36" w15:restartNumberingAfterBreak="0">
    <w:nsid w:val="5D6A6796"/>
    <w:multiLevelType w:val="multilevel"/>
    <w:tmpl w:val="89E208C6"/>
    <w:lvl w:ilvl="0">
      <w:start w:val="16"/>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1"/>
      <w:numFmt w:val="decimal"/>
      <w:lvlText w:val="%1.%2"/>
      <w:lvlJc w:val="left"/>
      <w:pPr>
        <w:ind w:left="469"/>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2"/>
      <w:numFmt w:val="decimal"/>
      <w:lvlText w:val="%1.%2.%3"/>
      <w:lvlJc w:val="left"/>
      <w:pPr>
        <w:ind w:left="836"/>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297"/>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2017"/>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2737"/>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457"/>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4177"/>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4897"/>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37" w15:restartNumberingAfterBreak="0">
    <w:nsid w:val="60154F8A"/>
    <w:multiLevelType w:val="multilevel"/>
    <w:tmpl w:val="34D085F8"/>
    <w:lvl w:ilvl="0">
      <w:start w:val="9"/>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2"/>
      <w:numFmt w:val="decimal"/>
      <w:lvlText w:val="%1.%2"/>
      <w:lvlJc w:val="left"/>
      <w:pPr>
        <w:ind w:left="63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5"/>
      <w:numFmt w:val="decimal"/>
      <w:lvlRestart w:val="0"/>
      <w:lvlText w:val="%1.%2.%3"/>
      <w:lvlJc w:val="left"/>
      <w:pPr>
        <w:ind w:left="549"/>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62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234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306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78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450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5223"/>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38" w15:restartNumberingAfterBreak="0">
    <w:nsid w:val="665507F4"/>
    <w:multiLevelType w:val="hybridMultilevel"/>
    <w:tmpl w:val="A4C48EC6"/>
    <w:lvl w:ilvl="0" w:tplc="D7E04A64">
      <w:start w:val="1"/>
      <w:numFmt w:val="decimal"/>
      <w:lvlText w:val="%1."/>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446278">
      <w:start w:val="1"/>
      <w:numFmt w:val="lowerLetter"/>
      <w:lvlText w:val="%2."/>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14EC944">
      <w:start w:val="1"/>
      <w:numFmt w:val="lowerRoman"/>
      <w:lvlText w:val="%3"/>
      <w:lvlJc w:val="left"/>
      <w:pPr>
        <w:ind w:left="19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C05CB6">
      <w:start w:val="1"/>
      <w:numFmt w:val="decimal"/>
      <w:lvlText w:val="%4"/>
      <w:lvlJc w:val="left"/>
      <w:pPr>
        <w:ind w:left="26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68CB46">
      <w:start w:val="1"/>
      <w:numFmt w:val="lowerLetter"/>
      <w:lvlText w:val="%5"/>
      <w:lvlJc w:val="left"/>
      <w:pPr>
        <w:ind w:left="33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BA849F8">
      <w:start w:val="1"/>
      <w:numFmt w:val="lowerRoman"/>
      <w:lvlText w:val="%6"/>
      <w:lvlJc w:val="left"/>
      <w:pPr>
        <w:ind w:left="4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B23DB8">
      <w:start w:val="1"/>
      <w:numFmt w:val="decimal"/>
      <w:lvlText w:val="%7"/>
      <w:lvlJc w:val="left"/>
      <w:pPr>
        <w:ind w:left="47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EF87C">
      <w:start w:val="1"/>
      <w:numFmt w:val="lowerLetter"/>
      <w:lvlText w:val="%8"/>
      <w:lvlJc w:val="left"/>
      <w:pPr>
        <w:ind w:left="55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A466F78">
      <w:start w:val="1"/>
      <w:numFmt w:val="lowerRoman"/>
      <w:lvlText w:val="%9"/>
      <w:lvlJc w:val="left"/>
      <w:pPr>
        <w:ind w:left="62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8901E40"/>
    <w:multiLevelType w:val="hybridMultilevel"/>
    <w:tmpl w:val="8B4E9860"/>
    <w:lvl w:ilvl="0" w:tplc="2A123D5E">
      <w:start w:val="1"/>
      <w:numFmt w:val="bullet"/>
      <w:lvlText w:val="o"/>
      <w:lvlJc w:val="left"/>
      <w:pPr>
        <w:ind w:left="16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09C8482">
      <w:start w:val="1"/>
      <w:numFmt w:val="bullet"/>
      <w:lvlText w:val="o"/>
      <w:lvlJc w:val="left"/>
      <w:pPr>
        <w:ind w:left="23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C2C2E1A">
      <w:start w:val="1"/>
      <w:numFmt w:val="bullet"/>
      <w:lvlText w:val="▪"/>
      <w:lvlJc w:val="left"/>
      <w:pPr>
        <w:ind w:left="30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5F0D140">
      <w:start w:val="1"/>
      <w:numFmt w:val="bullet"/>
      <w:lvlText w:val="•"/>
      <w:lvlJc w:val="left"/>
      <w:pPr>
        <w:ind w:left="37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B2695CE">
      <w:start w:val="1"/>
      <w:numFmt w:val="bullet"/>
      <w:lvlText w:val="o"/>
      <w:lvlJc w:val="left"/>
      <w:pPr>
        <w:ind w:left="45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456E81C">
      <w:start w:val="1"/>
      <w:numFmt w:val="bullet"/>
      <w:lvlText w:val="▪"/>
      <w:lvlJc w:val="left"/>
      <w:pPr>
        <w:ind w:left="52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D10EA74">
      <w:start w:val="1"/>
      <w:numFmt w:val="bullet"/>
      <w:lvlText w:val="•"/>
      <w:lvlJc w:val="left"/>
      <w:pPr>
        <w:ind w:left="59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890660A">
      <w:start w:val="1"/>
      <w:numFmt w:val="bullet"/>
      <w:lvlText w:val="o"/>
      <w:lvlJc w:val="left"/>
      <w:pPr>
        <w:ind w:left="66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A56BA38">
      <w:start w:val="1"/>
      <w:numFmt w:val="bullet"/>
      <w:lvlText w:val="▪"/>
      <w:lvlJc w:val="left"/>
      <w:pPr>
        <w:ind w:left="73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9EA0B3A"/>
    <w:multiLevelType w:val="hybridMultilevel"/>
    <w:tmpl w:val="B9B03F96"/>
    <w:lvl w:ilvl="0" w:tplc="A8B6D022">
      <w:start w:val="1"/>
      <w:numFmt w:val="bullet"/>
      <w:lvlText w:val="•"/>
      <w:lvlPicBulletId w:val="0"/>
      <w:lvlJc w:val="left"/>
      <w:pPr>
        <w:ind w:left="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FC0F6C">
      <w:start w:val="1"/>
      <w:numFmt w:val="bullet"/>
      <w:lvlText w:val="o"/>
      <w:lvlJc w:val="left"/>
      <w:pPr>
        <w:ind w:left="2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23E4DBE">
      <w:start w:val="1"/>
      <w:numFmt w:val="bullet"/>
      <w:lvlText w:val="▪"/>
      <w:lvlJc w:val="left"/>
      <w:pPr>
        <w:ind w:left="2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96C14C">
      <w:start w:val="1"/>
      <w:numFmt w:val="bullet"/>
      <w:lvlText w:val="•"/>
      <w:lvlJc w:val="left"/>
      <w:pPr>
        <w:ind w:left="3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9E8C63C">
      <w:start w:val="1"/>
      <w:numFmt w:val="bullet"/>
      <w:lvlText w:val="o"/>
      <w:lvlJc w:val="left"/>
      <w:pPr>
        <w:ind w:left="4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043416">
      <w:start w:val="1"/>
      <w:numFmt w:val="bullet"/>
      <w:lvlText w:val="▪"/>
      <w:lvlJc w:val="left"/>
      <w:pPr>
        <w:ind w:left="48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741828">
      <w:start w:val="1"/>
      <w:numFmt w:val="bullet"/>
      <w:lvlText w:val="•"/>
      <w:lvlJc w:val="left"/>
      <w:pPr>
        <w:ind w:left="56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66509A">
      <w:start w:val="1"/>
      <w:numFmt w:val="bullet"/>
      <w:lvlText w:val="o"/>
      <w:lvlJc w:val="left"/>
      <w:pPr>
        <w:ind w:left="6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2B478B4">
      <w:start w:val="1"/>
      <w:numFmt w:val="bullet"/>
      <w:lvlText w:val="▪"/>
      <w:lvlJc w:val="left"/>
      <w:pPr>
        <w:ind w:left="7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E2F4F44"/>
    <w:multiLevelType w:val="hybridMultilevel"/>
    <w:tmpl w:val="4C64103E"/>
    <w:lvl w:ilvl="0" w:tplc="9DECE6D2">
      <w:start w:val="1"/>
      <w:numFmt w:val="bullet"/>
      <w:lvlText w:val="•"/>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548AA8">
      <w:start w:val="1"/>
      <w:numFmt w:val="bullet"/>
      <w:lvlText w:val="o"/>
      <w:lvlJc w:val="left"/>
      <w:pPr>
        <w:ind w:left="119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338AC0C">
      <w:start w:val="1"/>
      <w:numFmt w:val="bullet"/>
      <w:lvlText w:val="▪"/>
      <w:lvlJc w:val="left"/>
      <w:pPr>
        <w:ind w:left="19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944EEF2">
      <w:start w:val="1"/>
      <w:numFmt w:val="bullet"/>
      <w:lvlText w:val="•"/>
      <w:lvlJc w:val="left"/>
      <w:pPr>
        <w:ind w:left="26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A28E3B0">
      <w:start w:val="1"/>
      <w:numFmt w:val="bullet"/>
      <w:lvlText w:val="o"/>
      <w:lvlJc w:val="left"/>
      <w:pPr>
        <w:ind w:left="335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A9869EE">
      <w:start w:val="1"/>
      <w:numFmt w:val="bullet"/>
      <w:lvlText w:val="▪"/>
      <w:lvlJc w:val="left"/>
      <w:pPr>
        <w:ind w:left="407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90CEBF0">
      <w:start w:val="1"/>
      <w:numFmt w:val="bullet"/>
      <w:lvlText w:val="•"/>
      <w:lvlJc w:val="left"/>
      <w:pPr>
        <w:ind w:left="47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266493E">
      <w:start w:val="1"/>
      <w:numFmt w:val="bullet"/>
      <w:lvlText w:val="o"/>
      <w:lvlJc w:val="left"/>
      <w:pPr>
        <w:ind w:left="551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AD2A21C">
      <w:start w:val="1"/>
      <w:numFmt w:val="bullet"/>
      <w:lvlText w:val="▪"/>
      <w:lvlJc w:val="left"/>
      <w:pPr>
        <w:ind w:left="623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1A64B72"/>
    <w:multiLevelType w:val="hybridMultilevel"/>
    <w:tmpl w:val="4A6C623E"/>
    <w:lvl w:ilvl="0" w:tplc="6A40A52C">
      <w:start w:val="1"/>
      <w:numFmt w:val="bullet"/>
      <w:lvlText w:val="•"/>
      <w:lvlJc w:val="left"/>
      <w:pPr>
        <w:ind w:left="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8C0BA6">
      <w:start w:val="1"/>
      <w:numFmt w:val="bullet"/>
      <w:lvlText w:val="o"/>
      <w:lvlJc w:val="left"/>
      <w:pPr>
        <w:ind w:left="16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FAFD4A">
      <w:start w:val="1"/>
      <w:numFmt w:val="bullet"/>
      <w:lvlText w:val="▪"/>
      <w:lvlJc w:val="left"/>
      <w:pPr>
        <w:ind w:left="23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140F4C">
      <w:start w:val="1"/>
      <w:numFmt w:val="bullet"/>
      <w:lvlText w:val="•"/>
      <w:lvlJc w:val="left"/>
      <w:pPr>
        <w:ind w:left="30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261442">
      <w:start w:val="1"/>
      <w:numFmt w:val="bullet"/>
      <w:lvlText w:val="o"/>
      <w:lvlJc w:val="left"/>
      <w:pPr>
        <w:ind w:left="37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F86256">
      <w:start w:val="1"/>
      <w:numFmt w:val="bullet"/>
      <w:lvlText w:val="▪"/>
      <w:lvlJc w:val="left"/>
      <w:pPr>
        <w:ind w:left="44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943208">
      <w:start w:val="1"/>
      <w:numFmt w:val="bullet"/>
      <w:lvlText w:val="•"/>
      <w:lvlJc w:val="left"/>
      <w:pPr>
        <w:ind w:left="52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6C921C">
      <w:start w:val="1"/>
      <w:numFmt w:val="bullet"/>
      <w:lvlText w:val="o"/>
      <w:lvlJc w:val="left"/>
      <w:pPr>
        <w:ind w:left="59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22F8DA">
      <w:start w:val="1"/>
      <w:numFmt w:val="bullet"/>
      <w:lvlText w:val="▪"/>
      <w:lvlJc w:val="left"/>
      <w:pPr>
        <w:ind w:left="6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6E87D89"/>
    <w:multiLevelType w:val="hybridMultilevel"/>
    <w:tmpl w:val="7C0676A0"/>
    <w:lvl w:ilvl="0" w:tplc="376A590E">
      <w:start w:val="1"/>
      <w:numFmt w:val="bullet"/>
      <w:lvlText w:val="•"/>
      <w:lvlPicBulletId w:val="0"/>
      <w:lvlJc w:val="left"/>
      <w:pPr>
        <w:ind w:left="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0E99D4">
      <w:start w:val="1"/>
      <w:numFmt w:val="bullet"/>
      <w:lvlText w:val="o"/>
      <w:lvlJc w:val="left"/>
      <w:pPr>
        <w:ind w:left="19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E68922">
      <w:start w:val="1"/>
      <w:numFmt w:val="bullet"/>
      <w:lvlText w:val="▪"/>
      <w:lvlJc w:val="left"/>
      <w:pPr>
        <w:ind w:left="27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F825CAA">
      <w:start w:val="1"/>
      <w:numFmt w:val="bullet"/>
      <w:lvlText w:val="•"/>
      <w:lvlJc w:val="left"/>
      <w:pPr>
        <w:ind w:left="3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9DC0950">
      <w:start w:val="1"/>
      <w:numFmt w:val="bullet"/>
      <w:lvlText w:val="o"/>
      <w:lvlJc w:val="left"/>
      <w:pPr>
        <w:ind w:left="41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F76BD68">
      <w:start w:val="1"/>
      <w:numFmt w:val="bullet"/>
      <w:lvlText w:val="▪"/>
      <w:lvlJc w:val="left"/>
      <w:pPr>
        <w:ind w:left="48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7AA45EA">
      <w:start w:val="1"/>
      <w:numFmt w:val="bullet"/>
      <w:lvlText w:val="•"/>
      <w:lvlJc w:val="left"/>
      <w:pPr>
        <w:ind w:left="55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A122F34">
      <w:start w:val="1"/>
      <w:numFmt w:val="bullet"/>
      <w:lvlText w:val="o"/>
      <w:lvlJc w:val="left"/>
      <w:pPr>
        <w:ind w:left="6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D61F12">
      <w:start w:val="1"/>
      <w:numFmt w:val="bullet"/>
      <w:lvlText w:val="▪"/>
      <w:lvlJc w:val="left"/>
      <w:pPr>
        <w:ind w:left="7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7CC23E8"/>
    <w:multiLevelType w:val="hybridMultilevel"/>
    <w:tmpl w:val="4AA61C1E"/>
    <w:lvl w:ilvl="0" w:tplc="2912FB0C">
      <w:start w:val="1"/>
      <w:numFmt w:val="bullet"/>
      <w:lvlText w:val="•"/>
      <w:lvlPicBulletId w:val="0"/>
      <w:lvlJc w:val="left"/>
      <w:pPr>
        <w:ind w:left="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2E2DC0">
      <w:start w:val="1"/>
      <w:numFmt w:val="bullet"/>
      <w:lvlText w:val="o"/>
      <w:lvlJc w:val="left"/>
      <w:pPr>
        <w:ind w:left="12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FD893B8">
      <w:start w:val="1"/>
      <w:numFmt w:val="bullet"/>
      <w:lvlText w:val="▪"/>
      <w:lvlJc w:val="left"/>
      <w:pPr>
        <w:ind w:left="23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74A30C4">
      <w:start w:val="1"/>
      <w:numFmt w:val="bullet"/>
      <w:lvlText w:val="•"/>
      <w:lvlJc w:val="left"/>
      <w:pPr>
        <w:ind w:left="30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AD06B30">
      <w:start w:val="1"/>
      <w:numFmt w:val="bullet"/>
      <w:lvlText w:val="o"/>
      <w:lvlJc w:val="left"/>
      <w:pPr>
        <w:ind w:left="37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02A1738">
      <w:start w:val="1"/>
      <w:numFmt w:val="bullet"/>
      <w:lvlText w:val="▪"/>
      <w:lvlJc w:val="left"/>
      <w:pPr>
        <w:ind w:left="45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C8C53EE">
      <w:start w:val="1"/>
      <w:numFmt w:val="bullet"/>
      <w:lvlText w:val="•"/>
      <w:lvlJc w:val="left"/>
      <w:pPr>
        <w:ind w:left="52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77E8660">
      <w:start w:val="1"/>
      <w:numFmt w:val="bullet"/>
      <w:lvlText w:val="o"/>
      <w:lvlJc w:val="left"/>
      <w:pPr>
        <w:ind w:left="59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662C0BA">
      <w:start w:val="1"/>
      <w:numFmt w:val="bullet"/>
      <w:lvlText w:val="▪"/>
      <w:lvlJc w:val="left"/>
      <w:pPr>
        <w:ind w:left="66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7D91A65"/>
    <w:multiLevelType w:val="hybridMultilevel"/>
    <w:tmpl w:val="93D60D04"/>
    <w:lvl w:ilvl="0" w:tplc="C9BEF728">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08B400">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1603F0">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D00590">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A23894">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C832AE">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520706">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8440D8">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DC0D9A">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A4162E8"/>
    <w:multiLevelType w:val="hybridMultilevel"/>
    <w:tmpl w:val="7794D7D4"/>
    <w:lvl w:ilvl="0" w:tplc="872056AA">
      <w:start w:val="1"/>
      <w:numFmt w:val="bullet"/>
      <w:lvlText w:val="-"/>
      <w:lvlJc w:val="left"/>
      <w:pPr>
        <w:ind w:left="8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D8AE3C">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580486">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90B664">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D44624">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AE0FA0">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B42DEE">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A64860">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B04920">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AC07738"/>
    <w:multiLevelType w:val="multilevel"/>
    <w:tmpl w:val="F3F2131A"/>
    <w:lvl w:ilvl="0">
      <w:start w:val="11"/>
      <w:numFmt w:val="decimal"/>
      <w:lvlText w:val="%1"/>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1">
      <w:start w:val="2"/>
      <w:numFmt w:val="decimal"/>
      <w:lvlText w:val="%1.%2"/>
      <w:lvlJc w:val="left"/>
      <w:pPr>
        <w:ind w:left="360"/>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2">
      <w:start w:val="1"/>
      <w:numFmt w:val="decimal"/>
      <w:lvlRestart w:val="0"/>
      <w:lvlText w:val="%1.%2.%3"/>
      <w:lvlJc w:val="left"/>
      <w:pPr>
        <w:ind w:left="1212"/>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3">
      <w:start w:val="1"/>
      <w:numFmt w:val="decimal"/>
      <w:lvlText w:val="%4"/>
      <w:lvlJc w:val="left"/>
      <w:pPr>
        <w:ind w:left="108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4">
      <w:start w:val="1"/>
      <w:numFmt w:val="lowerLetter"/>
      <w:lvlText w:val="%5"/>
      <w:lvlJc w:val="left"/>
      <w:pPr>
        <w:ind w:left="180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5">
      <w:start w:val="1"/>
      <w:numFmt w:val="lowerRoman"/>
      <w:lvlText w:val="%6"/>
      <w:lvlJc w:val="left"/>
      <w:pPr>
        <w:ind w:left="252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6">
      <w:start w:val="1"/>
      <w:numFmt w:val="decimal"/>
      <w:lvlText w:val="%7"/>
      <w:lvlJc w:val="left"/>
      <w:pPr>
        <w:ind w:left="324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7">
      <w:start w:val="1"/>
      <w:numFmt w:val="lowerLetter"/>
      <w:lvlText w:val="%8"/>
      <w:lvlJc w:val="left"/>
      <w:pPr>
        <w:ind w:left="396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lvl w:ilvl="8">
      <w:start w:val="1"/>
      <w:numFmt w:val="lowerRoman"/>
      <w:lvlText w:val="%9"/>
      <w:lvlJc w:val="left"/>
      <w:pPr>
        <w:ind w:left="4681"/>
      </w:pPr>
      <w:rPr>
        <w:rFonts w:ascii="Arial" w:eastAsia="Arial" w:hAnsi="Arial" w:cs="Arial"/>
        <w:b w:val="0"/>
        <w:i w:val="0"/>
        <w:strike w:val="0"/>
        <w:dstrike w:val="0"/>
        <w:color w:val="4D4D4D"/>
        <w:sz w:val="16"/>
        <w:szCs w:val="16"/>
        <w:u w:val="none" w:color="000000"/>
        <w:bdr w:val="none" w:sz="0" w:space="0" w:color="auto"/>
        <w:shd w:val="clear" w:color="auto" w:fill="auto"/>
        <w:vertAlign w:val="baseline"/>
      </w:rPr>
    </w:lvl>
  </w:abstractNum>
  <w:abstractNum w:abstractNumId="48" w15:restartNumberingAfterBreak="0">
    <w:nsid w:val="7B3B6200"/>
    <w:multiLevelType w:val="multilevel"/>
    <w:tmpl w:val="BCDA9D86"/>
    <w:lvl w:ilvl="0">
      <w:start w:val="1"/>
      <w:numFmt w:val="decimal"/>
      <w:lvlText w:val="%1"/>
      <w:lvlJc w:val="left"/>
      <w:pPr>
        <w:ind w:left="818"/>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1">
      <w:start w:val="1"/>
      <w:numFmt w:val="decimal"/>
      <w:lvlText w:val="%1.%2"/>
      <w:lvlJc w:val="left"/>
      <w:pPr>
        <w:ind w:left="9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4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8"/>
  </w:num>
  <w:num w:numId="2">
    <w:abstractNumId w:val="32"/>
  </w:num>
  <w:num w:numId="3">
    <w:abstractNumId w:val="18"/>
  </w:num>
  <w:num w:numId="4">
    <w:abstractNumId w:val="27"/>
  </w:num>
  <w:num w:numId="5">
    <w:abstractNumId w:val="33"/>
  </w:num>
  <w:num w:numId="6">
    <w:abstractNumId w:val="8"/>
  </w:num>
  <w:num w:numId="7">
    <w:abstractNumId w:val="6"/>
  </w:num>
  <w:num w:numId="8">
    <w:abstractNumId w:val="29"/>
  </w:num>
  <w:num w:numId="9">
    <w:abstractNumId w:val="23"/>
  </w:num>
  <w:num w:numId="10">
    <w:abstractNumId w:val="4"/>
  </w:num>
  <w:num w:numId="11">
    <w:abstractNumId w:val="13"/>
  </w:num>
  <w:num w:numId="12">
    <w:abstractNumId w:val="39"/>
  </w:num>
  <w:num w:numId="13">
    <w:abstractNumId w:val="28"/>
  </w:num>
  <w:num w:numId="14">
    <w:abstractNumId w:val="24"/>
  </w:num>
  <w:num w:numId="15">
    <w:abstractNumId w:val="35"/>
  </w:num>
  <w:num w:numId="16">
    <w:abstractNumId w:val="12"/>
  </w:num>
  <w:num w:numId="17">
    <w:abstractNumId w:val="17"/>
  </w:num>
  <w:num w:numId="18">
    <w:abstractNumId w:val="37"/>
  </w:num>
  <w:num w:numId="19">
    <w:abstractNumId w:val="47"/>
  </w:num>
  <w:num w:numId="20">
    <w:abstractNumId w:val="10"/>
  </w:num>
  <w:num w:numId="21">
    <w:abstractNumId w:val="20"/>
  </w:num>
  <w:num w:numId="22">
    <w:abstractNumId w:val="7"/>
  </w:num>
  <w:num w:numId="23">
    <w:abstractNumId w:val="2"/>
  </w:num>
  <w:num w:numId="24">
    <w:abstractNumId w:val="26"/>
  </w:num>
  <w:num w:numId="25">
    <w:abstractNumId w:val="36"/>
  </w:num>
  <w:num w:numId="26">
    <w:abstractNumId w:val="1"/>
  </w:num>
  <w:num w:numId="27">
    <w:abstractNumId w:val="5"/>
  </w:num>
  <w:num w:numId="28">
    <w:abstractNumId w:val="15"/>
  </w:num>
  <w:num w:numId="29">
    <w:abstractNumId w:val="43"/>
  </w:num>
  <w:num w:numId="30">
    <w:abstractNumId w:val="16"/>
  </w:num>
  <w:num w:numId="31">
    <w:abstractNumId w:val="40"/>
  </w:num>
  <w:num w:numId="32">
    <w:abstractNumId w:val="44"/>
  </w:num>
  <w:num w:numId="33">
    <w:abstractNumId w:val="9"/>
  </w:num>
  <w:num w:numId="34">
    <w:abstractNumId w:val="21"/>
  </w:num>
  <w:num w:numId="35">
    <w:abstractNumId w:val="0"/>
  </w:num>
  <w:num w:numId="36">
    <w:abstractNumId w:val="3"/>
  </w:num>
  <w:num w:numId="37">
    <w:abstractNumId w:val="30"/>
  </w:num>
  <w:num w:numId="38">
    <w:abstractNumId w:val="45"/>
  </w:num>
  <w:num w:numId="39">
    <w:abstractNumId w:val="14"/>
  </w:num>
  <w:num w:numId="40">
    <w:abstractNumId w:val="19"/>
  </w:num>
  <w:num w:numId="41">
    <w:abstractNumId w:val="42"/>
  </w:num>
  <w:num w:numId="42">
    <w:abstractNumId w:val="25"/>
  </w:num>
  <w:num w:numId="43">
    <w:abstractNumId w:val="11"/>
  </w:num>
  <w:num w:numId="44">
    <w:abstractNumId w:val="41"/>
  </w:num>
  <w:num w:numId="45">
    <w:abstractNumId w:val="31"/>
  </w:num>
  <w:num w:numId="46">
    <w:abstractNumId w:val="34"/>
  </w:num>
  <w:num w:numId="47">
    <w:abstractNumId w:val="22"/>
  </w:num>
  <w:num w:numId="48">
    <w:abstractNumId w:val="46"/>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01D"/>
    <w:rsid w:val="002956E2"/>
    <w:rsid w:val="0034129A"/>
    <w:rsid w:val="0076001D"/>
    <w:rsid w:val="00BA553F"/>
    <w:rsid w:val="00CF52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48A995-763A-4162-8925-A21E2BC7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871" w:hanging="369"/>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3"/>
      <w:ind w:left="512"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3"/>
      <w:ind w:left="512"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3"/>
      <w:ind w:left="512"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3"/>
      <w:ind w:left="512" w:hanging="10"/>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jpg"/><Relationship Id="rId63" Type="http://schemas.openxmlformats.org/officeDocument/2006/relationships/hyperlink" Target="https://estrategia.gobiernoenlinea.gov.co/623/w3-propertyvalue-8017.html" TargetMode="External"/><Relationship Id="rId68" Type="http://schemas.openxmlformats.org/officeDocument/2006/relationships/hyperlink" Target="https://estrategia.gobiernoenlinea.gov.co/623/w3-propertyvalue-8017.html" TargetMode="External"/><Relationship Id="rId84" Type="http://schemas.openxmlformats.org/officeDocument/2006/relationships/image" Target="media/image18.png"/><Relationship Id="rId89" Type="http://schemas.openxmlformats.org/officeDocument/2006/relationships/footer" Target="footer4.xml"/><Relationship Id="rId112" Type="http://schemas.openxmlformats.org/officeDocument/2006/relationships/footer" Target="footer11.xml"/><Relationship Id="rId133" Type="http://schemas.openxmlformats.org/officeDocument/2006/relationships/footer" Target="footer17.xml"/><Relationship Id="rId138" Type="http://schemas.openxmlformats.org/officeDocument/2006/relationships/header" Target="header19.xml"/><Relationship Id="rId154" Type="http://schemas.openxmlformats.org/officeDocument/2006/relationships/image" Target="media/image40.jpg"/><Relationship Id="rId159" Type="http://schemas.openxmlformats.org/officeDocument/2006/relationships/image" Target="media/image380.jpg"/><Relationship Id="rId175" Type="http://schemas.openxmlformats.org/officeDocument/2006/relationships/image" Target="media/image56.jpg"/><Relationship Id="rId170" Type="http://schemas.openxmlformats.org/officeDocument/2006/relationships/image" Target="media/image52.jpg"/><Relationship Id="rId191" Type="http://schemas.openxmlformats.org/officeDocument/2006/relationships/image" Target="media/image69.jpg"/><Relationship Id="rId196" Type="http://schemas.openxmlformats.org/officeDocument/2006/relationships/image" Target="media/image74.jpg"/><Relationship Id="rId200" Type="http://schemas.openxmlformats.org/officeDocument/2006/relationships/image" Target="media/image72.png"/><Relationship Id="rId205" Type="http://schemas.openxmlformats.org/officeDocument/2006/relationships/header" Target="header27.xml"/><Relationship Id="rId107" Type="http://schemas.openxmlformats.org/officeDocument/2006/relationships/image" Target="media/image27.png"/><Relationship Id="rId58" Type="http://schemas.openxmlformats.org/officeDocument/2006/relationships/image" Target="media/image75.png"/><Relationship Id="rId74" Type="http://schemas.openxmlformats.org/officeDocument/2006/relationships/image" Target="media/image13.png"/><Relationship Id="rId79" Type="http://schemas.openxmlformats.org/officeDocument/2006/relationships/footer" Target="footer2.xml"/><Relationship Id="rId102" Type="http://schemas.openxmlformats.org/officeDocument/2006/relationships/image" Target="media/image1.png"/><Relationship Id="rId123" Type="http://schemas.openxmlformats.org/officeDocument/2006/relationships/footer" Target="footer13.xml"/><Relationship Id="rId128" Type="http://schemas.openxmlformats.org/officeDocument/2006/relationships/image" Target="media/image34.png"/><Relationship Id="rId144" Type="http://schemas.openxmlformats.org/officeDocument/2006/relationships/header" Target="header22.xml"/><Relationship Id="rId149" Type="http://schemas.openxmlformats.org/officeDocument/2006/relationships/footer" Target="footer24.xml"/><Relationship Id="rId5" Type="http://schemas.openxmlformats.org/officeDocument/2006/relationships/footnotes" Target="footnotes.xml"/><Relationship Id="rId90" Type="http://schemas.openxmlformats.org/officeDocument/2006/relationships/footer" Target="footer5.xml"/><Relationship Id="rId95" Type="http://schemas.openxmlformats.org/officeDocument/2006/relationships/footer" Target="footer7.xml"/><Relationship Id="rId160" Type="http://schemas.openxmlformats.org/officeDocument/2006/relationships/image" Target="media/image390.jpg"/><Relationship Id="rId165" Type="http://schemas.openxmlformats.org/officeDocument/2006/relationships/image" Target="media/image430.jpg"/><Relationship Id="rId181" Type="http://schemas.openxmlformats.org/officeDocument/2006/relationships/image" Target="media/image550.jpg"/><Relationship Id="rId186" Type="http://schemas.openxmlformats.org/officeDocument/2006/relationships/image" Target="media/image64.png"/><Relationship Id="rId64" Type="http://schemas.openxmlformats.org/officeDocument/2006/relationships/hyperlink" Target="https://estrategia.gobiernoenlinea.gov.co/623/w3-propertyvalue-8017.html" TargetMode="External"/><Relationship Id="rId69" Type="http://schemas.openxmlformats.org/officeDocument/2006/relationships/hyperlink" Target="https://estrategia.gobiernoenlinea.gov.co/623/w3-propertyvalue-8017.html" TargetMode="External"/><Relationship Id="rId113" Type="http://schemas.openxmlformats.org/officeDocument/2006/relationships/header" Target="header12.xml"/><Relationship Id="rId118" Type="http://schemas.openxmlformats.org/officeDocument/2006/relationships/image" Target="media/image26.jpg"/><Relationship Id="rId134" Type="http://schemas.openxmlformats.org/officeDocument/2006/relationships/header" Target="header18.xml"/><Relationship Id="rId139" Type="http://schemas.openxmlformats.org/officeDocument/2006/relationships/header" Target="header20.xml"/><Relationship Id="rId80" Type="http://schemas.openxmlformats.org/officeDocument/2006/relationships/header" Target="header3.xml"/><Relationship Id="rId85" Type="http://schemas.openxmlformats.org/officeDocument/2006/relationships/image" Target="media/image19.jpg"/><Relationship Id="rId150" Type="http://schemas.openxmlformats.org/officeDocument/2006/relationships/image" Target="media/image38.jpg"/><Relationship Id="rId155" Type="http://schemas.openxmlformats.org/officeDocument/2006/relationships/image" Target="media/image41.jpg"/><Relationship Id="rId171" Type="http://schemas.openxmlformats.org/officeDocument/2006/relationships/image" Target="media/image480.jpg"/><Relationship Id="rId176" Type="http://schemas.openxmlformats.org/officeDocument/2006/relationships/image" Target="media/image510.jpg"/><Relationship Id="rId192" Type="http://schemas.openxmlformats.org/officeDocument/2006/relationships/image" Target="media/image70.jpg"/><Relationship Id="rId197" Type="http://schemas.openxmlformats.org/officeDocument/2006/relationships/image" Target="media/image75.jpg"/><Relationship Id="rId206" Type="http://schemas.openxmlformats.org/officeDocument/2006/relationships/footer" Target="footer27.xml"/><Relationship Id="rId201" Type="http://schemas.openxmlformats.org/officeDocument/2006/relationships/header" Target="header25.xml"/><Relationship Id="rId59" Type="http://schemas.openxmlformats.org/officeDocument/2006/relationships/image" Target="media/image6.png"/><Relationship Id="rId103" Type="http://schemas.openxmlformats.org/officeDocument/2006/relationships/image" Target="media/image19.png"/><Relationship Id="rId108" Type="http://schemas.openxmlformats.org/officeDocument/2006/relationships/image" Target="media/image28.png"/><Relationship Id="rId124" Type="http://schemas.openxmlformats.org/officeDocument/2006/relationships/footer" Target="footer14.xml"/><Relationship Id="rId129" Type="http://schemas.openxmlformats.org/officeDocument/2006/relationships/image" Target="media/image35.jpg"/><Relationship Id="rId62" Type="http://schemas.openxmlformats.org/officeDocument/2006/relationships/image" Target="media/image9.png"/><Relationship Id="rId70" Type="http://schemas.openxmlformats.org/officeDocument/2006/relationships/hyperlink" Target="https://estrategia.gobiernoenlinea.gov.co/623/w3-propertyvalue-8017.html" TargetMode="External"/><Relationship Id="rId75" Type="http://schemas.openxmlformats.org/officeDocument/2006/relationships/image" Target="media/image14.png"/><Relationship Id="rId83" Type="http://schemas.openxmlformats.org/officeDocument/2006/relationships/image" Target="media/image16.png"/><Relationship Id="rId88" Type="http://schemas.openxmlformats.org/officeDocument/2006/relationships/header" Target="header5.xml"/><Relationship Id="rId91" Type="http://schemas.openxmlformats.org/officeDocument/2006/relationships/header" Target="header6.xml"/><Relationship Id="rId96" Type="http://schemas.openxmlformats.org/officeDocument/2006/relationships/footer" Target="footer8.xml"/><Relationship Id="rId111" Type="http://schemas.openxmlformats.org/officeDocument/2006/relationships/footer" Target="footer10.xml"/><Relationship Id="rId132" Type="http://schemas.openxmlformats.org/officeDocument/2006/relationships/footer" Target="footer16.xml"/><Relationship Id="rId140" Type="http://schemas.openxmlformats.org/officeDocument/2006/relationships/footer" Target="footer19.xml"/><Relationship Id="rId145" Type="http://schemas.openxmlformats.org/officeDocument/2006/relationships/header" Target="header23.xml"/><Relationship Id="rId153" Type="http://schemas.openxmlformats.org/officeDocument/2006/relationships/image" Target="media/image39.jpg"/><Relationship Id="rId161" Type="http://schemas.openxmlformats.org/officeDocument/2006/relationships/image" Target="media/image45.jpg"/><Relationship Id="rId166" Type="http://schemas.openxmlformats.org/officeDocument/2006/relationships/image" Target="media/image48.jpg"/><Relationship Id="rId174" Type="http://schemas.openxmlformats.org/officeDocument/2006/relationships/image" Target="media/image55.jpg"/><Relationship Id="rId179" Type="http://schemas.openxmlformats.org/officeDocument/2006/relationships/image" Target="media/image58.jpg"/><Relationship Id="rId182" Type="http://schemas.openxmlformats.org/officeDocument/2006/relationships/image" Target="media/image60.jpg"/><Relationship Id="rId187" Type="http://schemas.openxmlformats.org/officeDocument/2006/relationships/image" Target="media/image65.png"/><Relationship Id="rId195" Type="http://schemas.openxmlformats.org/officeDocument/2006/relationships/image" Target="media/image73.jpg"/><Relationship Id="rId1" Type="http://schemas.openxmlformats.org/officeDocument/2006/relationships/numbering" Target="numbering.xml"/><Relationship Id="rId6" Type="http://schemas.openxmlformats.org/officeDocument/2006/relationships/endnotes" Target="endnotes.xml"/><Relationship Id="rId190" Type="http://schemas.openxmlformats.org/officeDocument/2006/relationships/image" Target="media/image68.jpg"/><Relationship Id="rId204" Type="http://schemas.openxmlformats.org/officeDocument/2006/relationships/footer" Target="footer26.xml"/><Relationship Id="rId106" Type="http://schemas.openxmlformats.org/officeDocument/2006/relationships/image" Target="media/image26.png"/><Relationship Id="rId114" Type="http://schemas.openxmlformats.org/officeDocument/2006/relationships/footer" Target="footer12.xml"/><Relationship Id="rId119" Type="http://schemas.openxmlformats.org/officeDocument/2006/relationships/image" Target="media/image31.jpg"/><Relationship Id="rId127" Type="http://schemas.openxmlformats.org/officeDocument/2006/relationships/image" Target="media/image33.png"/><Relationship Id="rId10" Type="http://schemas.openxmlformats.org/officeDocument/2006/relationships/image" Target="media/image5.png"/><Relationship Id="rId60" Type="http://schemas.openxmlformats.org/officeDocument/2006/relationships/image" Target="media/image7.jpg"/><Relationship Id="rId65" Type="http://schemas.openxmlformats.org/officeDocument/2006/relationships/hyperlink" Target="https://estrategia.gobiernoenlinea.gov.co/623/w3-propertyvalue-8017.html" TargetMode="External"/><Relationship Id="rId73" Type="http://schemas.openxmlformats.org/officeDocument/2006/relationships/image" Target="media/image12.png"/><Relationship Id="rId78" Type="http://schemas.openxmlformats.org/officeDocument/2006/relationships/footer" Target="footer1.xml"/><Relationship Id="rId81" Type="http://schemas.openxmlformats.org/officeDocument/2006/relationships/footer" Target="footer3.xml"/><Relationship Id="rId86" Type="http://schemas.openxmlformats.org/officeDocument/2006/relationships/image" Target="media/image20.jpg"/><Relationship Id="rId94" Type="http://schemas.openxmlformats.org/officeDocument/2006/relationships/header" Target="header8.xml"/><Relationship Id="rId99" Type="http://schemas.openxmlformats.org/officeDocument/2006/relationships/image" Target="media/image21.png"/><Relationship Id="rId101" Type="http://schemas.openxmlformats.org/officeDocument/2006/relationships/image" Target="media/image23.png"/><Relationship Id="rId122" Type="http://schemas.openxmlformats.org/officeDocument/2006/relationships/header" Target="header14.xml"/><Relationship Id="rId130" Type="http://schemas.openxmlformats.org/officeDocument/2006/relationships/header" Target="header16.xml"/><Relationship Id="rId135" Type="http://schemas.openxmlformats.org/officeDocument/2006/relationships/footer" Target="footer18.xml"/><Relationship Id="rId143" Type="http://schemas.openxmlformats.org/officeDocument/2006/relationships/footer" Target="footer21.xml"/><Relationship Id="rId148" Type="http://schemas.openxmlformats.org/officeDocument/2006/relationships/header" Target="header24.xml"/><Relationship Id="rId151" Type="http://schemas.openxmlformats.org/officeDocument/2006/relationships/image" Target="media/image33.jpg"/><Relationship Id="rId156" Type="http://schemas.openxmlformats.org/officeDocument/2006/relationships/image" Target="media/image42.jpg"/><Relationship Id="rId164" Type="http://schemas.openxmlformats.org/officeDocument/2006/relationships/image" Target="media/image420.jpg"/><Relationship Id="rId169" Type="http://schemas.openxmlformats.org/officeDocument/2006/relationships/image" Target="media/image51.jpg"/><Relationship Id="rId177" Type="http://schemas.openxmlformats.org/officeDocument/2006/relationships/image" Target="media/image520.jpg"/><Relationship Id="rId185" Type="http://schemas.openxmlformats.org/officeDocument/2006/relationships/image" Target="media/image63.jpg"/><Relationship Id="rId198" Type="http://schemas.openxmlformats.org/officeDocument/2006/relationships/image" Target="media/image76.jpg"/><Relationship Id="rId4" Type="http://schemas.openxmlformats.org/officeDocument/2006/relationships/webSettings" Target="webSettings.xml"/><Relationship Id="rId9" Type="http://schemas.openxmlformats.org/officeDocument/2006/relationships/image" Target="media/image4.png"/><Relationship Id="rId172" Type="http://schemas.openxmlformats.org/officeDocument/2006/relationships/image" Target="media/image53.jpg"/><Relationship Id="rId180" Type="http://schemas.openxmlformats.org/officeDocument/2006/relationships/image" Target="media/image59.jpg"/><Relationship Id="rId193" Type="http://schemas.openxmlformats.org/officeDocument/2006/relationships/image" Target="media/image71.jpg"/><Relationship Id="rId202" Type="http://schemas.openxmlformats.org/officeDocument/2006/relationships/header" Target="header26.xml"/><Relationship Id="rId207" Type="http://schemas.openxmlformats.org/officeDocument/2006/relationships/fontTable" Target="fontTable.xml"/><Relationship Id="rId109" Type="http://schemas.openxmlformats.org/officeDocument/2006/relationships/header" Target="header10.xml"/><Relationship Id="rId76" Type="http://schemas.openxmlformats.org/officeDocument/2006/relationships/header" Target="header1.xml"/><Relationship Id="rId97" Type="http://schemas.openxmlformats.org/officeDocument/2006/relationships/header" Target="header9.xml"/><Relationship Id="rId104" Type="http://schemas.openxmlformats.org/officeDocument/2006/relationships/image" Target="media/image24.png"/><Relationship Id="rId120" Type="http://schemas.openxmlformats.org/officeDocument/2006/relationships/image" Target="media/image32.jpg"/><Relationship Id="rId125" Type="http://schemas.openxmlformats.org/officeDocument/2006/relationships/header" Target="header15.xml"/><Relationship Id="rId141" Type="http://schemas.openxmlformats.org/officeDocument/2006/relationships/footer" Target="footer20.xml"/><Relationship Id="rId146" Type="http://schemas.openxmlformats.org/officeDocument/2006/relationships/footer" Target="footer22.xml"/><Relationship Id="rId167" Type="http://schemas.openxmlformats.org/officeDocument/2006/relationships/image" Target="media/image49.jpg"/><Relationship Id="rId188" Type="http://schemas.openxmlformats.org/officeDocument/2006/relationships/image" Target="media/image66.png"/><Relationship Id="rId7" Type="http://schemas.openxmlformats.org/officeDocument/2006/relationships/image" Target="media/image2.jpg"/><Relationship Id="rId71" Type="http://schemas.openxmlformats.org/officeDocument/2006/relationships/image" Target="media/image10.jpg"/><Relationship Id="rId92" Type="http://schemas.openxmlformats.org/officeDocument/2006/relationships/footer" Target="footer6.xml"/><Relationship Id="rId162" Type="http://schemas.openxmlformats.org/officeDocument/2006/relationships/image" Target="media/image46.jpg"/><Relationship Id="rId183" Type="http://schemas.openxmlformats.org/officeDocument/2006/relationships/image" Target="media/image61.jpg"/><Relationship Id="rId2" Type="http://schemas.openxmlformats.org/officeDocument/2006/relationships/styles" Target="styles.xml"/><Relationship Id="rId66" Type="http://schemas.openxmlformats.org/officeDocument/2006/relationships/hyperlink" Target="https://estrategia.gobiernoenlinea.gov.co/623/w3-propertyvalue-8017.html" TargetMode="External"/><Relationship Id="rId87" Type="http://schemas.openxmlformats.org/officeDocument/2006/relationships/header" Target="header4.xml"/><Relationship Id="rId110" Type="http://schemas.openxmlformats.org/officeDocument/2006/relationships/header" Target="header11.xml"/><Relationship Id="rId115" Type="http://schemas.openxmlformats.org/officeDocument/2006/relationships/image" Target="media/image29.jpg"/><Relationship Id="rId131" Type="http://schemas.openxmlformats.org/officeDocument/2006/relationships/header" Target="header17.xml"/><Relationship Id="rId136" Type="http://schemas.openxmlformats.org/officeDocument/2006/relationships/image" Target="media/image36.jpg"/><Relationship Id="rId157" Type="http://schemas.openxmlformats.org/officeDocument/2006/relationships/image" Target="media/image43.jpg"/><Relationship Id="rId178" Type="http://schemas.openxmlformats.org/officeDocument/2006/relationships/image" Target="media/image57.jpg"/><Relationship Id="rId61" Type="http://schemas.openxmlformats.org/officeDocument/2006/relationships/image" Target="media/image8.jpg"/><Relationship Id="rId82" Type="http://schemas.openxmlformats.org/officeDocument/2006/relationships/image" Target="media/image17.jpg"/><Relationship Id="rId152" Type="http://schemas.openxmlformats.org/officeDocument/2006/relationships/image" Target="media/image3.jpg"/><Relationship Id="rId173" Type="http://schemas.openxmlformats.org/officeDocument/2006/relationships/image" Target="media/image54.jpg"/><Relationship Id="rId194" Type="http://schemas.openxmlformats.org/officeDocument/2006/relationships/image" Target="media/image72.jpg"/><Relationship Id="rId199" Type="http://schemas.openxmlformats.org/officeDocument/2006/relationships/image" Target="media/image77.png"/><Relationship Id="rId203" Type="http://schemas.openxmlformats.org/officeDocument/2006/relationships/footer" Target="footer25.xml"/><Relationship Id="rId208" Type="http://schemas.openxmlformats.org/officeDocument/2006/relationships/theme" Target="theme/theme1.xml"/><Relationship Id="rId56" Type="http://schemas.openxmlformats.org/officeDocument/2006/relationships/image" Target="media/image50.png"/><Relationship Id="rId77" Type="http://schemas.openxmlformats.org/officeDocument/2006/relationships/header" Target="header2.xml"/><Relationship Id="rId100" Type="http://schemas.openxmlformats.org/officeDocument/2006/relationships/image" Target="media/image22.jpg"/><Relationship Id="rId105" Type="http://schemas.openxmlformats.org/officeDocument/2006/relationships/image" Target="media/image25.png"/><Relationship Id="rId126" Type="http://schemas.openxmlformats.org/officeDocument/2006/relationships/footer" Target="footer15.xml"/><Relationship Id="rId147" Type="http://schemas.openxmlformats.org/officeDocument/2006/relationships/footer" Target="footer23.xml"/><Relationship Id="rId168" Type="http://schemas.openxmlformats.org/officeDocument/2006/relationships/image" Target="media/image50.jpg"/><Relationship Id="rId8" Type="http://schemas.openxmlformats.org/officeDocument/2006/relationships/image" Target="media/image3.png"/><Relationship Id="rId72" Type="http://schemas.openxmlformats.org/officeDocument/2006/relationships/image" Target="media/image11.jpg"/><Relationship Id="rId93" Type="http://schemas.openxmlformats.org/officeDocument/2006/relationships/header" Target="header7.xml"/><Relationship Id="rId98" Type="http://schemas.openxmlformats.org/officeDocument/2006/relationships/footer" Target="footer9.xml"/><Relationship Id="rId121" Type="http://schemas.openxmlformats.org/officeDocument/2006/relationships/header" Target="header13.xml"/><Relationship Id="rId142" Type="http://schemas.openxmlformats.org/officeDocument/2006/relationships/header" Target="header21.xml"/><Relationship Id="rId163" Type="http://schemas.openxmlformats.org/officeDocument/2006/relationships/image" Target="media/image47.jpg"/><Relationship Id="rId184" Type="http://schemas.openxmlformats.org/officeDocument/2006/relationships/image" Target="media/image62.jpg"/><Relationship Id="rId189" Type="http://schemas.openxmlformats.org/officeDocument/2006/relationships/image" Target="media/image67.jpg"/><Relationship Id="rId3" Type="http://schemas.openxmlformats.org/officeDocument/2006/relationships/settings" Target="settings.xml"/><Relationship Id="rId67" Type="http://schemas.openxmlformats.org/officeDocument/2006/relationships/hyperlink" Target="https://estrategia.gobiernoenlinea.gov.co/623/w3-propertyvalue-8017.html" TargetMode="External"/><Relationship Id="rId116" Type="http://schemas.openxmlformats.org/officeDocument/2006/relationships/image" Target="media/image30.jpg"/><Relationship Id="rId137" Type="http://schemas.openxmlformats.org/officeDocument/2006/relationships/image" Target="media/image37.jpg"/><Relationship Id="rId158" Type="http://schemas.openxmlformats.org/officeDocument/2006/relationships/image" Target="media/image44.jp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11.xml.rels><?xml version="1.0" encoding="UTF-8" standalone="yes"?>
<Relationships xmlns="http://schemas.openxmlformats.org/package/2006/relationships"><Relationship Id="rId1" Type="http://schemas.openxmlformats.org/officeDocument/2006/relationships/image" Target="media/image16.png"/></Relationships>
</file>

<file path=word/_rels/footer12.xml.rels><?xml version="1.0" encoding="UTF-8" standalone="yes"?>
<Relationships xmlns="http://schemas.openxmlformats.org/package/2006/relationships"><Relationship Id="rId1" Type="http://schemas.openxmlformats.org/officeDocument/2006/relationships/image" Target="media/image16.png"/></Relationships>
</file>

<file path=word/_rels/footer13.xml.rels><?xml version="1.0" encoding="UTF-8" standalone="yes"?>
<Relationships xmlns="http://schemas.openxmlformats.org/package/2006/relationships"><Relationship Id="rId1" Type="http://schemas.openxmlformats.org/officeDocument/2006/relationships/image" Target="media/image16.png"/></Relationships>
</file>

<file path=word/_rels/footer14.xml.rels><?xml version="1.0" encoding="UTF-8" standalone="yes"?>
<Relationships xmlns="http://schemas.openxmlformats.org/package/2006/relationships"><Relationship Id="rId1" Type="http://schemas.openxmlformats.org/officeDocument/2006/relationships/image" Target="media/image16.png"/></Relationships>
</file>

<file path=word/_rels/footer15.xml.rels><?xml version="1.0" encoding="UTF-8" standalone="yes"?>
<Relationships xmlns="http://schemas.openxmlformats.org/package/2006/relationships"><Relationship Id="rId1" Type="http://schemas.openxmlformats.org/officeDocument/2006/relationships/image" Target="media/image16.png"/></Relationships>
</file>

<file path=word/_rels/footer17.xml.rels><?xml version="1.0" encoding="UTF-8" standalone="yes"?>
<Relationships xmlns="http://schemas.openxmlformats.org/package/2006/relationships"><Relationship Id="rId1" Type="http://schemas.openxmlformats.org/officeDocument/2006/relationships/image" Target="media/image16.png"/></Relationships>
</file>

<file path=word/_rels/footer19.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20.xml.rels><?xml version="1.0" encoding="UTF-8" standalone="yes"?>
<Relationships xmlns="http://schemas.openxmlformats.org/package/2006/relationships"><Relationship Id="rId1" Type="http://schemas.openxmlformats.org/officeDocument/2006/relationships/image" Target="media/image16.png"/></Relationships>
</file>

<file path=word/_rels/footer21.xml.rels><?xml version="1.0" encoding="UTF-8" standalone="yes"?>
<Relationships xmlns="http://schemas.openxmlformats.org/package/2006/relationships"><Relationship Id="rId1" Type="http://schemas.openxmlformats.org/officeDocument/2006/relationships/image" Target="media/image16.png"/></Relationships>
</file>

<file path=word/_rels/footer22.xml.rels><?xml version="1.0" encoding="UTF-8" standalone="yes"?>
<Relationships xmlns="http://schemas.openxmlformats.org/package/2006/relationships"><Relationship Id="rId1" Type="http://schemas.openxmlformats.org/officeDocument/2006/relationships/image" Target="media/image16.png"/></Relationships>
</file>

<file path=word/_rels/footer24.xml.rels><?xml version="1.0" encoding="UTF-8" standalone="yes"?>
<Relationships xmlns="http://schemas.openxmlformats.org/package/2006/relationships"><Relationship Id="rId1" Type="http://schemas.openxmlformats.org/officeDocument/2006/relationships/image" Target="media/image16.png"/></Relationships>
</file>

<file path=word/_rels/footer25.xml.rels><?xml version="1.0" encoding="UTF-8" standalone="yes"?>
<Relationships xmlns="http://schemas.openxmlformats.org/package/2006/relationships"><Relationship Id="rId1" Type="http://schemas.openxmlformats.org/officeDocument/2006/relationships/image" Target="media/image16.png"/></Relationships>
</file>

<file path=word/_rels/footer26.xml.rels><?xml version="1.0" encoding="UTF-8" standalone="yes"?>
<Relationships xmlns="http://schemas.openxmlformats.org/package/2006/relationships"><Relationship Id="rId1" Type="http://schemas.openxmlformats.org/officeDocument/2006/relationships/image" Target="media/image16.png"/></Relationships>
</file>

<file path=word/_rels/footer27.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16.png"/></Relationships>
</file>

<file path=word/_rels/footer7.xml.rels><?xml version="1.0" encoding="UTF-8" standalone="yes"?>
<Relationships xmlns="http://schemas.openxmlformats.org/package/2006/relationships"><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16.png"/></Relationships>
</file>

<file path=word/_rels/footer9.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10.xml.rels><?xml version="1.0" encoding="UTF-8" standalone="yes"?>
<Relationships xmlns="http://schemas.openxmlformats.org/package/2006/relationships"><Relationship Id="rId1" Type="http://schemas.openxmlformats.org/officeDocument/2006/relationships/image" Target="media/image15.jpg"/></Relationships>
</file>

<file path=word/_rels/header11.xml.rels><?xml version="1.0" encoding="UTF-8" standalone="yes"?>
<Relationships xmlns="http://schemas.openxmlformats.org/package/2006/relationships"><Relationship Id="rId1" Type="http://schemas.openxmlformats.org/officeDocument/2006/relationships/image" Target="media/image15.jpg"/></Relationships>
</file>

<file path=word/_rels/header12.xml.rels><?xml version="1.0" encoding="UTF-8" standalone="yes"?>
<Relationships xmlns="http://schemas.openxmlformats.org/package/2006/relationships"><Relationship Id="rId1" Type="http://schemas.openxmlformats.org/officeDocument/2006/relationships/image" Target="media/image15.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5.jpg"/></Relationships>
</file>

<file path=word/_rels/header15.xml.rels><?xml version="1.0" encoding="UTF-8" standalone="yes"?>
<Relationships xmlns="http://schemas.openxmlformats.org/package/2006/relationships"><Relationship Id="rId1" Type="http://schemas.openxmlformats.org/officeDocument/2006/relationships/image" Target="media/image15.jpg"/></Relationships>
</file>

<file path=word/_rels/header16.xml.rels><?xml version="1.0" encoding="UTF-8" standalone="yes"?>
<Relationships xmlns="http://schemas.openxmlformats.org/package/2006/relationships"><Relationship Id="rId1" Type="http://schemas.openxmlformats.org/officeDocument/2006/relationships/image" Target="media/image15.jpg"/></Relationships>
</file>

<file path=word/_rels/header17.xml.rels><?xml version="1.0" encoding="UTF-8" standalone="yes"?>
<Relationships xmlns="http://schemas.openxmlformats.org/package/2006/relationships"><Relationship Id="rId1" Type="http://schemas.openxmlformats.org/officeDocument/2006/relationships/image" Target="media/image15.jpg"/></Relationships>
</file>

<file path=word/_rels/header18.xml.rels><?xml version="1.0" encoding="UTF-8" standalone="yes"?>
<Relationships xmlns="http://schemas.openxmlformats.org/package/2006/relationships"><Relationship Id="rId1" Type="http://schemas.openxmlformats.org/officeDocument/2006/relationships/image" Target="media/image15.jpg"/></Relationships>
</file>

<file path=word/_rels/header19.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20.xml.rels><?xml version="1.0" encoding="UTF-8" standalone="yes"?>
<Relationships xmlns="http://schemas.openxmlformats.org/package/2006/relationships"><Relationship Id="rId1" Type="http://schemas.openxmlformats.org/officeDocument/2006/relationships/image" Target="media/image15.jpg"/></Relationships>
</file>

<file path=word/_rels/header21.xml.rels><?xml version="1.0" encoding="UTF-8" standalone="yes"?>
<Relationships xmlns="http://schemas.openxmlformats.org/package/2006/relationships"><Relationship Id="rId1" Type="http://schemas.openxmlformats.org/officeDocument/2006/relationships/image" Target="media/image15.jpg"/></Relationships>
</file>

<file path=word/_rels/header22.xml.rels><?xml version="1.0" encoding="UTF-8" standalone="yes"?>
<Relationships xmlns="http://schemas.openxmlformats.org/package/2006/relationships"><Relationship Id="rId1" Type="http://schemas.openxmlformats.org/officeDocument/2006/relationships/image" Target="media/image15.jpg"/></Relationships>
</file>

<file path=word/_rels/header23.xml.rels><?xml version="1.0" encoding="UTF-8" standalone="yes"?>
<Relationships xmlns="http://schemas.openxmlformats.org/package/2006/relationships"><Relationship Id="rId1" Type="http://schemas.openxmlformats.org/officeDocument/2006/relationships/image" Target="media/image15.jpg"/></Relationships>
</file>

<file path=word/_rels/header24.xml.rels><?xml version="1.0" encoding="UTF-8" standalone="yes"?>
<Relationships xmlns="http://schemas.openxmlformats.org/package/2006/relationships"><Relationship Id="rId1" Type="http://schemas.openxmlformats.org/officeDocument/2006/relationships/image" Target="media/image15.jpg"/></Relationships>
</file>

<file path=word/_rels/header25.xml.rels><?xml version="1.0" encoding="UTF-8" standalone="yes"?>
<Relationships xmlns="http://schemas.openxmlformats.org/package/2006/relationships"><Relationship Id="rId1" Type="http://schemas.openxmlformats.org/officeDocument/2006/relationships/image" Target="media/image15.jpg"/></Relationships>
</file>

<file path=word/_rels/header26.xml.rels><?xml version="1.0" encoding="UTF-8" standalone="yes"?>
<Relationships xmlns="http://schemas.openxmlformats.org/package/2006/relationships"><Relationship Id="rId1" Type="http://schemas.openxmlformats.org/officeDocument/2006/relationships/image" Target="media/image15.jpg"/></Relationships>
</file>

<file path=word/_rels/header27.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5.jpg"/></Relationships>
</file>

<file path=word/_rels/header7.xml.rels><?xml version="1.0" encoding="UTF-8" standalone="yes"?>
<Relationships xmlns="http://schemas.openxmlformats.org/package/2006/relationships"><Relationship Id="rId1" Type="http://schemas.openxmlformats.org/officeDocument/2006/relationships/image" Target="media/image15.jpg"/></Relationships>
</file>

<file path=word/_rels/header8.xml.rels><?xml version="1.0" encoding="UTF-8" standalone="yes"?>
<Relationships xmlns="http://schemas.openxmlformats.org/package/2006/relationships"><Relationship Id="rId1" Type="http://schemas.openxmlformats.org/officeDocument/2006/relationships/image" Target="media/image15.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29081</Words>
  <Characters>159946</Characters>
  <Application>Microsoft Office Word</Application>
  <DocSecurity>0</DocSecurity>
  <Lines>1332</Lines>
  <Paragraphs>377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Ismael Martinez Guerrero</dc:creator>
  <cp:keywords/>
  <cp:lastModifiedBy>Idep</cp:lastModifiedBy>
  <cp:revision>3</cp:revision>
  <cp:lastPrinted>2020-11-04T21:27:00Z</cp:lastPrinted>
  <dcterms:created xsi:type="dcterms:W3CDTF">2020-11-04T23:29:00Z</dcterms:created>
  <dcterms:modified xsi:type="dcterms:W3CDTF">2020-11-04T23:29:00Z</dcterms:modified>
</cp:coreProperties>
</file>